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13101943"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A1646A" w:rsidRPr="00A1646A">
        <w:rPr>
          <w:rFonts w:cs="Arial"/>
          <w:b/>
          <w:sz w:val="24"/>
          <w:szCs w:val="24"/>
        </w:rPr>
        <w:t>R4-2305752</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63BE583"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523FB4">
        <w:rPr>
          <w:rFonts w:ascii="Arial" w:hAnsi="Arial" w:cs="Arial"/>
          <w:bCs/>
          <w:color w:val="000000"/>
          <w:sz w:val="22"/>
        </w:rPr>
        <w:t>Preliminary verification of</w:t>
      </w:r>
      <w:r w:rsidR="008F5716">
        <w:rPr>
          <w:rFonts w:ascii="Arial" w:hAnsi="Arial" w:cs="Arial"/>
          <w:bCs/>
          <w:color w:val="000000"/>
          <w:sz w:val="22"/>
        </w:rPr>
        <w:t xml:space="preserve"> NR-U 1Tx PC3 MPR</w:t>
      </w:r>
    </w:p>
    <w:p w14:paraId="04CEABB2" w14:textId="0906BAA4" w:rsidR="00AA0188" w:rsidRPr="00D35545"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35545" w:rsidRPr="00D35545">
        <w:rPr>
          <w:rFonts w:ascii="Arial" w:hAnsi="Arial" w:cs="Arial"/>
          <w:bCs/>
          <w:color w:val="000000"/>
          <w:sz w:val="22"/>
          <w:lang w:val="pt-BR" w:eastAsia="ja-JP"/>
        </w:rPr>
        <w:t>4.31.2</w:t>
      </w:r>
      <w:r w:rsidR="00D35545">
        <w:rPr>
          <w:rFonts w:ascii="Arial" w:hAnsi="Arial" w:cs="Arial"/>
          <w:bCs/>
          <w:color w:val="000000"/>
          <w:sz w:val="22"/>
          <w:lang w:val="pt-BR" w:eastAsia="ja-JP"/>
        </w:rPr>
        <w:t xml:space="preserve"> </w:t>
      </w:r>
      <w:r w:rsidR="00D35545" w:rsidRPr="00D35545">
        <w:rPr>
          <w:rFonts w:ascii="Arial" w:hAnsi="Arial" w:cs="Arial"/>
          <w:bCs/>
          <w:color w:val="000000"/>
          <w:sz w:val="22"/>
          <w:lang w:val="pt-BR" w:eastAsia="ja-JP"/>
        </w:rPr>
        <w:t>Common requirements [NR_unlic_enh-Core]</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02E1A8BD" w:rsidR="00AB4C71" w:rsidRPr="008463C0" w:rsidRDefault="00AB4C71" w:rsidP="008463C0">
      <w:pPr>
        <w:pStyle w:val="Heading1"/>
        <w:numPr>
          <w:ilvl w:val="0"/>
          <w:numId w:val="29"/>
        </w:numPr>
        <w:pBdr>
          <w:top w:val="single" w:sz="12" w:space="6" w:color="auto"/>
        </w:pBdr>
        <w:spacing w:after="120"/>
        <w:rPr>
          <w:rStyle w:val="Heading1Char"/>
        </w:rPr>
      </w:pPr>
      <w:r w:rsidRPr="008463C0">
        <w:rPr>
          <w:rStyle w:val="Heading1Char"/>
          <w:rFonts w:hint="eastAsia"/>
        </w:rPr>
        <w:t>Introduction</w:t>
      </w:r>
    </w:p>
    <w:p w14:paraId="269BB697" w14:textId="2EF74A63" w:rsidR="004F5221" w:rsidRPr="00AA6E64" w:rsidRDefault="00D35545" w:rsidP="004F5221">
      <w:pPr>
        <w:pStyle w:val="BodyText"/>
        <w:spacing w:after="120"/>
        <w:jc w:val="both"/>
        <w:rPr>
          <w:rFonts w:eastAsia="SimSun"/>
          <w:lang w:eastAsia="zh-CN"/>
        </w:rPr>
      </w:pPr>
      <w:r>
        <w:rPr>
          <w:rFonts w:eastAsia="SimSun"/>
          <w:lang w:eastAsia="zh-CN"/>
        </w:rPr>
        <w:t xml:space="preserve">At RAN4 meeting #106, MPR for NR-U 1Tx power class 3 (PC3) was agreed in way forward (WF) [1]. Due to lack of time, we were unable to bring measurement data to validate these 1Tx PC3 MPR values. </w:t>
      </w:r>
      <w:r w:rsidR="007747E6">
        <w:rPr>
          <w:rFonts w:eastAsia="SimSun"/>
          <w:lang w:eastAsia="zh-CN"/>
        </w:rPr>
        <w:t xml:space="preserve">A simple comparison of the specified 1Tx PC3 MPR for NR vs the WF [1] 1Tx PC3 MPR for NR-U shows that, despite using </w:t>
      </w:r>
      <w:r w:rsidR="00350783">
        <w:rPr>
          <w:rFonts w:eastAsia="SimSun"/>
          <w:lang w:eastAsia="zh-CN"/>
        </w:rPr>
        <w:t xml:space="preserve">a near identical </w:t>
      </w:r>
      <w:r w:rsidR="007747E6">
        <w:rPr>
          <w:rFonts w:eastAsia="SimSun"/>
          <w:lang w:eastAsia="zh-CN"/>
        </w:rPr>
        <w:t xml:space="preserve">power amplifier (PA) linearity </w:t>
      </w:r>
      <w:r w:rsidR="00BD148C">
        <w:rPr>
          <w:rFonts w:eastAsia="SimSun"/>
          <w:lang w:eastAsia="zh-CN"/>
        </w:rPr>
        <w:t>calibration, the</w:t>
      </w:r>
      <w:r w:rsidR="007747E6">
        <w:rPr>
          <w:rFonts w:eastAsia="SimSun"/>
          <w:lang w:eastAsia="zh-CN"/>
        </w:rPr>
        <w:t xml:space="preserve"> DFT-s-OFDM QPSK NR-U MPR for fully allocated waveforms is either equal or greater than the NR 1Tx PC3. Further comparison with NR-U 1Tx PC5 also reveals inconsistencies. Finally, in NR-U 1Tx PC5, it was shown that 100MHz channel bandwidth required additional MPR allowance</w:t>
      </w:r>
      <w:r w:rsidR="00AA6DF4">
        <w:rPr>
          <w:rFonts w:eastAsia="SimSun"/>
          <w:lang w:eastAsia="zh-CN"/>
        </w:rPr>
        <w:t xml:space="preserve"> for CP-OFDM</w:t>
      </w:r>
      <w:r w:rsidR="007747E6">
        <w:rPr>
          <w:rFonts w:eastAsia="SimSun"/>
          <w:lang w:eastAsia="zh-CN"/>
        </w:rPr>
        <w:t>. This contribution brings measurement data for one waveform to check if this is needed for 1Tx PC3.</w:t>
      </w:r>
    </w:p>
    <w:p w14:paraId="4B1F97BC" w14:textId="1F6A07F5" w:rsidR="00AB2C18" w:rsidRDefault="000A4E22" w:rsidP="008463C0">
      <w:pPr>
        <w:pStyle w:val="Heading1"/>
        <w:numPr>
          <w:ilvl w:val="0"/>
          <w:numId w:val="29"/>
        </w:numPr>
        <w:spacing w:after="120"/>
        <w:rPr>
          <w:rStyle w:val="Heading1Char"/>
        </w:rPr>
      </w:pPr>
      <w:bookmarkStart w:id="5" w:name="_Toc443593759"/>
      <w:bookmarkStart w:id="6" w:name="_Toc460338137"/>
      <w:bookmarkStart w:id="7" w:name="_Toc492043890"/>
      <w:bookmarkStart w:id="8" w:name="_Toc492044144"/>
      <w:bookmarkStart w:id="9" w:name="_Toc494295307"/>
      <w:r w:rsidRPr="008463C0">
        <w:rPr>
          <w:rStyle w:val="Heading1Char"/>
        </w:rPr>
        <w:t>Discussion</w:t>
      </w:r>
    </w:p>
    <w:p w14:paraId="6EF87F0A" w14:textId="45E5CE7B" w:rsidR="00350783" w:rsidRDefault="00D64765" w:rsidP="00CC583C">
      <w:pPr>
        <w:jc w:val="both"/>
        <w:rPr>
          <w:lang w:eastAsia="ja-JP"/>
        </w:rPr>
      </w:pPr>
      <w:r>
        <w:rPr>
          <w:lang w:eastAsia="ja-JP"/>
        </w:rPr>
        <w:t xml:space="preserve">Firstly, we would like to </w:t>
      </w:r>
      <w:r w:rsidR="00350783">
        <w:rPr>
          <w:lang w:eastAsia="ja-JP"/>
        </w:rPr>
        <w:t>remind that the PA linearity</w:t>
      </w:r>
      <w:r>
        <w:rPr>
          <w:lang w:eastAsia="ja-JP"/>
        </w:rPr>
        <w:t xml:space="preserve"> calibration</w:t>
      </w:r>
      <w:r w:rsidR="00350783">
        <w:rPr>
          <w:lang w:eastAsia="ja-JP"/>
        </w:rPr>
        <w:t xml:space="preserve"> used to establish the NR 1Tx PC3 MPR is near</w:t>
      </w:r>
      <w:r>
        <w:rPr>
          <w:lang w:eastAsia="ja-JP"/>
        </w:rPr>
        <w:t>ly</w:t>
      </w:r>
      <w:r w:rsidR="00350783">
        <w:rPr>
          <w:lang w:eastAsia="ja-JP"/>
        </w:rPr>
        <w:t xml:space="preserve"> identical to that used for NR-U 1 Tx:</w:t>
      </w:r>
    </w:p>
    <w:p w14:paraId="5B48B6A8" w14:textId="1E470CD4" w:rsidR="000E0938" w:rsidRDefault="00350783" w:rsidP="00350783">
      <w:pPr>
        <w:pStyle w:val="ListParagraph"/>
        <w:numPr>
          <w:ilvl w:val="0"/>
          <w:numId w:val="36"/>
        </w:numPr>
        <w:jc w:val="both"/>
        <w:rPr>
          <w:lang w:eastAsia="ja-JP"/>
        </w:rPr>
      </w:pPr>
      <w:r>
        <w:rPr>
          <w:lang w:eastAsia="ja-JP"/>
        </w:rPr>
        <w:t xml:space="preserve">NR PC3 PA linearity is calibrated </w:t>
      </w:r>
      <w:r w:rsidR="000E0938">
        <w:rPr>
          <w:lang w:eastAsia="ja-JP"/>
        </w:rPr>
        <w:t xml:space="preserve">at </w:t>
      </w:r>
      <w:r w:rsidR="000E0938" w:rsidRPr="000E0938">
        <w:rPr>
          <w:lang w:eastAsia="ja-JP"/>
        </w:rPr>
        <w:t>1dB MPR for QPSK DFT-s-OFDM 20MHz 100RB0 waveform at 30dB ACLR</w:t>
      </w:r>
      <w:r w:rsidR="000E0938">
        <w:rPr>
          <w:lang w:eastAsia="ja-JP"/>
        </w:rPr>
        <w:t>,</w:t>
      </w:r>
    </w:p>
    <w:p w14:paraId="463983B7" w14:textId="668F3607" w:rsidR="000E0938" w:rsidRDefault="00350783" w:rsidP="000E0938">
      <w:pPr>
        <w:pStyle w:val="ListParagraph"/>
        <w:numPr>
          <w:ilvl w:val="0"/>
          <w:numId w:val="36"/>
        </w:numPr>
        <w:jc w:val="both"/>
        <w:rPr>
          <w:lang w:eastAsia="ja-JP"/>
        </w:rPr>
      </w:pPr>
      <w:r>
        <w:rPr>
          <w:lang w:eastAsia="zh-CN"/>
        </w:rPr>
        <w:t xml:space="preserve">NR-U PC3 PA </w:t>
      </w:r>
      <w:r>
        <w:rPr>
          <w:lang w:eastAsia="ja-JP"/>
        </w:rPr>
        <w:t xml:space="preserve">linearity is calibrated </w:t>
      </w:r>
      <w:r w:rsidR="000E0938">
        <w:rPr>
          <w:lang w:eastAsia="ja-JP"/>
        </w:rPr>
        <w:t xml:space="preserve">at </w:t>
      </w:r>
      <w:r w:rsidR="000E0938" w:rsidRPr="000E0938">
        <w:rPr>
          <w:lang w:eastAsia="ja-JP"/>
        </w:rPr>
        <w:t>1dB MPR for QPSK DFT-s-OFDM 20MHz 100RB0 waveform at 30dB ACLR</w:t>
      </w:r>
      <w:r w:rsidR="000E0938">
        <w:rPr>
          <w:lang w:eastAsia="ja-JP"/>
        </w:rPr>
        <w:t xml:space="preserve"> (according to [2]).</w:t>
      </w:r>
    </w:p>
    <w:p w14:paraId="0809108D" w14:textId="03998D8E" w:rsidR="00D64765" w:rsidRDefault="00D64765" w:rsidP="00D64765">
      <w:pPr>
        <w:ind w:left="360"/>
        <w:rPr>
          <w:lang w:eastAsia="zh-CN"/>
        </w:rPr>
      </w:pPr>
      <w:r>
        <w:rPr>
          <w:lang w:eastAsia="zh-CN"/>
        </w:rPr>
        <w:t>For both NR and NR-U, the same waveform impairments are applied:</w:t>
      </w:r>
    </w:p>
    <w:p w14:paraId="5ECCA1AA" w14:textId="77777777" w:rsidR="00D64765" w:rsidRDefault="00D64765" w:rsidP="00D64765">
      <w:pPr>
        <w:pStyle w:val="ListParagraph"/>
        <w:numPr>
          <w:ilvl w:val="0"/>
          <w:numId w:val="27"/>
        </w:numPr>
        <w:rPr>
          <w:lang w:eastAsia="zh-CN"/>
        </w:rPr>
      </w:pPr>
      <w:r w:rsidRPr="00D504F2">
        <w:rPr>
          <w:lang w:eastAsia="zh-CN"/>
        </w:rPr>
        <w:t xml:space="preserve">Local Oscillator (LO) leakage: </w:t>
      </w:r>
      <w:r>
        <w:rPr>
          <w:lang w:eastAsia="zh-CN"/>
        </w:rPr>
        <w:tab/>
      </w:r>
      <w:r w:rsidRPr="00D504F2">
        <w:rPr>
          <w:lang w:eastAsia="zh-CN"/>
        </w:rPr>
        <w:t>-</w:t>
      </w:r>
      <w:proofErr w:type="gramStart"/>
      <w:r w:rsidRPr="00D504F2">
        <w:rPr>
          <w:lang w:eastAsia="zh-CN"/>
        </w:rPr>
        <w:t>28dBc</w:t>
      </w:r>
      <w:r>
        <w:rPr>
          <w:lang w:eastAsia="zh-CN"/>
        </w:rPr>
        <w:t>;</w:t>
      </w:r>
      <w:proofErr w:type="gramEnd"/>
    </w:p>
    <w:p w14:paraId="6B62CDEF" w14:textId="77777777" w:rsidR="00D64765" w:rsidRDefault="00D64765" w:rsidP="00D64765">
      <w:pPr>
        <w:pStyle w:val="ListParagraph"/>
        <w:numPr>
          <w:ilvl w:val="0"/>
          <w:numId w:val="27"/>
        </w:numPr>
        <w:rPr>
          <w:lang w:eastAsia="zh-CN"/>
        </w:rPr>
      </w:pPr>
      <w:r w:rsidRPr="00D504F2">
        <w:rPr>
          <w:lang w:eastAsia="zh-CN"/>
        </w:rPr>
        <w:t xml:space="preserve">IQ Image rejection: </w:t>
      </w:r>
      <w:r>
        <w:rPr>
          <w:lang w:eastAsia="zh-CN"/>
        </w:rPr>
        <w:tab/>
      </w:r>
      <w:r>
        <w:rPr>
          <w:lang w:eastAsia="zh-CN"/>
        </w:rPr>
        <w:tab/>
      </w:r>
      <w:r>
        <w:rPr>
          <w:lang w:eastAsia="zh-CN"/>
        </w:rPr>
        <w:tab/>
      </w:r>
      <w:r>
        <w:rPr>
          <w:lang w:eastAsia="zh-CN"/>
        </w:rPr>
        <w:tab/>
      </w:r>
      <w:r w:rsidRPr="00D504F2">
        <w:rPr>
          <w:lang w:eastAsia="zh-CN"/>
        </w:rPr>
        <w:t>-</w:t>
      </w:r>
      <w:proofErr w:type="gramStart"/>
      <w:r w:rsidRPr="00D504F2">
        <w:rPr>
          <w:lang w:eastAsia="zh-CN"/>
        </w:rPr>
        <w:t>28dB;</w:t>
      </w:r>
      <w:proofErr w:type="gramEnd"/>
    </w:p>
    <w:p w14:paraId="488343CF" w14:textId="77777777" w:rsidR="00D64765" w:rsidRDefault="00D64765" w:rsidP="00D64765">
      <w:pPr>
        <w:pStyle w:val="ListParagraph"/>
        <w:numPr>
          <w:ilvl w:val="0"/>
          <w:numId w:val="27"/>
        </w:numPr>
        <w:jc w:val="both"/>
        <w:rPr>
          <w:lang w:eastAsia="ja-JP"/>
        </w:rPr>
      </w:pPr>
      <w:r>
        <w:rPr>
          <w:lang w:eastAsia="zh-CN"/>
        </w:rPr>
        <w:t xml:space="preserve">RF transceiver impairments: </w:t>
      </w:r>
      <w:r>
        <w:rPr>
          <w:lang w:eastAsia="zh-CN"/>
        </w:rPr>
        <w:tab/>
      </w:r>
      <w:r>
        <w:rPr>
          <w:lang w:eastAsia="zh-CN"/>
        </w:rPr>
        <w:tab/>
      </w:r>
      <w:r w:rsidRPr="00D504F2">
        <w:rPr>
          <w:lang w:eastAsia="zh-CN"/>
        </w:rPr>
        <w:t>C-IM3: -60dBc, C-IM5: -70dBc</w:t>
      </w:r>
      <w:r>
        <w:rPr>
          <w:lang w:eastAsia="zh-CN"/>
        </w:rPr>
        <w:t>.</w:t>
      </w:r>
    </w:p>
    <w:p w14:paraId="7436005C" w14:textId="34E1AF5A" w:rsidR="00350783" w:rsidRDefault="000E0938" w:rsidP="00350783">
      <w:pPr>
        <w:jc w:val="both"/>
        <w:rPr>
          <w:lang w:eastAsia="ja-JP"/>
        </w:rPr>
      </w:pPr>
      <w:r>
        <w:rPr>
          <w:lang w:eastAsia="ja-JP"/>
        </w:rPr>
        <w:t xml:space="preserve">The ACLR gating and the reference waveform used to calibrate both the NR and the NR-U PA for PC3 MPR are identical. </w:t>
      </w:r>
      <w:r w:rsidR="00350783">
        <w:rPr>
          <w:lang w:eastAsia="ja-JP"/>
        </w:rPr>
        <w:t xml:space="preserve">However, our previous measurement campaigns have shown that the </w:t>
      </w:r>
      <w:r>
        <w:rPr>
          <w:lang w:eastAsia="ja-JP"/>
        </w:rPr>
        <w:t xml:space="preserve">NR-U </w:t>
      </w:r>
      <w:r w:rsidR="00350783">
        <w:rPr>
          <w:lang w:eastAsia="ja-JP"/>
        </w:rPr>
        <w:t>PA linearity is not gated by ACLR but by the SEM, and that the SEM</w:t>
      </w:r>
      <w:r w:rsidR="004E71C9">
        <w:rPr>
          <w:lang w:eastAsia="ja-JP"/>
        </w:rPr>
        <w:t xml:space="preserve"> is</w:t>
      </w:r>
      <w:r w:rsidR="00350783">
        <w:rPr>
          <w:lang w:eastAsia="ja-JP"/>
        </w:rPr>
        <w:t xml:space="preserve"> </w:t>
      </w:r>
      <w:r w:rsidR="00F322A2">
        <w:rPr>
          <w:lang w:eastAsia="ja-JP"/>
        </w:rPr>
        <w:t xml:space="preserve">typically </w:t>
      </w:r>
      <w:r w:rsidR="00350783">
        <w:rPr>
          <w:lang w:eastAsia="ja-JP"/>
        </w:rPr>
        <w:t>gate</w:t>
      </w:r>
      <w:r w:rsidR="004E71C9">
        <w:rPr>
          <w:lang w:eastAsia="ja-JP"/>
        </w:rPr>
        <w:t>d</w:t>
      </w:r>
      <w:r w:rsidR="00350783">
        <w:rPr>
          <w:lang w:eastAsia="ja-JP"/>
        </w:rPr>
        <w:t xml:space="preserve"> at </w:t>
      </w:r>
      <w:r w:rsidR="00041BC3">
        <w:rPr>
          <w:lang w:eastAsia="ja-JP"/>
        </w:rPr>
        <w:t>~ 0.1 to ~</w:t>
      </w:r>
      <w:r w:rsidR="00350783">
        <w:rPr>
          <w:lang w:eastAsia="ja-JP"/>
        </w:rPr>
        <w:t>0.2dB lower</w:t>
      </w:r>
      <w:r w:rsidR="00041BC3">
        <w:rPr>
          <w:lang w:eastAsia="ja-JP"/>
        </w:rPr>
        <w:t xml:space="preserve"> output power</w:t>
      </w:r>
      <w:r w:rsidR="00F322A2">
        <w:rPr>
          <w:lang w:eastAsia="ja-JP"/>
        </w:rPr>
        <w:t xml:space="preserve"> levels than ACLR</w:t>
      </w:r>
      <w:r w:rsidR="00350783">
        <w:rPr>
          <w:lang w:eastAsia="ja-JP"/>
        </w:rPr>
        <w:t>. We can therefore assume that the 1dB MPR PA calibration is</w:t>
      </w:r>
      <w:r>
        <w:rPr>
          <w:lang w:eastAsia="ja-JP"/>
        </w:rPr>
        <w:t xml:space="preserve"> nearly</w:t>
      </w:r>
      <w:r w:rsidR="00350783">
        <w:rPr>
          <w:lang w:eastAsia="ja-JP"/>
        </w:rPr>
        <w:t xml:space="preserve"> identi</w:t>
      </w:r>
      <w:r w:rsidR="00D64765">
        <w:rPr>
          <w:lang w:eastAsia="ja-JP"/>
        </w:rPr>
        <w:t>cal for NR-U 1Tx PC3 and NR 1Tx PC3.</w:t>
      </w:r>
    </w:p>
    <w:p w14:paraId="7117E121" w14:textId="10EE8C1D" w:rsidR="00D64765" w:rsidRDefault="00D64765" w:rsidP="00350783">
      <w:pPr>
        <w:jc w:val="both"/>
        <w:rPr>
          <w:b/>
          <w:bCs/>
          <w:lang w:eastAsia="ja-JP"/>
        </w:rPr>
      </w:pPr>
      <w:r w:rsidRPr="00D64765">
        <w:rPr>
          <w:b/>
          <w:bCs/>
          <w:lang w:eastAsia="ja-JP"/>
        </w:rPr>
        <w:t xml:space="preserve">Observation 1: </w:t>
      </w:r>
      <w:r w:rsidR="000E0938">
        <w:rPr>
          <w:b/>
          <w:bCs/>
          <w:lang w:eastAsia="ja-JP"/>
        </w:rPr>
        <w:t>Both NR and NR-U PA linearity is calibrated using the same reference waveform and the same ACLR gating of -30dBc at 1dB MPR. For NR-U, it is often found that SEM gates at ~</w:t>
      </w:r>
      <w:r w:rsidR="00BD148C">
        <w:rPr>
          <w:b/>
          <w:bCs/>
          <w:lang w:eastAsia="ja-JP"/>
        </w:rPr>
        <w:t xml:space="preserve">0.1 to </w:t>
      </w:r>
      <w:r w:rsidR="000E0938">
        <w:rPr>
          <w:b/>
          <w:bCs/>
          <w:lang w:eastAsia="ja-JP"/>
        </w:rPr>
        <w:t>0.2dB lower output power than ACLR-30dBc. I</w:t>
      </w:r>
      <w:r w:rsidRPr="00D64765">
        <w:rPr>
          <w:b/>
          <w:bCs/>
          <w:lang w:eastAsia="ja-JP"/>
        </w:rPr>
        <w:t>t can be assumed that the 1Tx NR-U PC3 PA linearity calibration is</w:t>
      </w:r>
      <w:r w:rsidR="000E0938">
        <w:rPr>
          <w:b/>
          <w:bCs/>
          <w:lang w:eastAsia="ja-JP"/>
        </w:rPr>
        <w:t xml:space="preserve"> nearly</w:t>
      </w:r>
      <w:r w:rsidRPr="00D64765">
        <w:rPr>
          <w:b/>
          <w:bCs/>
          <w:lang w:eastAsia="ja-JP"/>
        </w:rPr>
        <w:t xml:space="preserve"> identical to the NR 1Tx PC3 PA calibration. </w:t>
      </w:r>
      <w:r w:rsidR="001B0C33">
        <w:rPr>
          <w:b/>
          <w:bCs/>
          <w:lang w:eastAsia="ja-JP"/>
        </w:rPr>
        <w:t>The better PC3 PA linearity should lead to lower 1Tx PC3 MPR than the 1Tx PC5 MPR.</w:t>
      </w:r>
    </w:p>
    <w:p w14:paraId="2B14BAAA" w14:textId="631A7BA6" w:rsidR="00D64765" w:rsidRDefault="00D64765" w:rsidP="00D64765">
      <w:pPr>
        <w:jc w:val="both"/>
        <w:rPr>
          <w:lang w:eastAsia="ja-JP"/>
        </w:rPr>
      </w:pPr>
      <w:r>
        <w:rPr>
          <w:lang w:eastAsia="ja-JP"/>
        </w:rPr>
        <w:t xml:space="preserve">Secondly, in </w:t>
      </w:r>
      <w:r>
        <w:rPr>
          <w:lang w:eastAsia="ja-JP"/>
        </w:rPr>
        <w:fldChar w:fldCharType="begin"/>
      </w:r>
      <w:r>
        <w:rPr>
          <w:lang w:eastAsia="ja-JP"/>
        </w:rPr>
        <w:instrText xml:space="preserve"> REF _Ref127485572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xml:space="preserve"> below, we compare side-by-side the NR-U 1Tx PC3 MPR from [1] with the NR 1Tx PC3 MPR (</w:t>
      </w:r>
      <w:r w:rsidRPr="00AA6DF4">
        <w:rPr>
          <w:lang w:eastAsia="ja-JP"/>
        </w:rPr>
        <w:t>Table 6.2.2-1</w:t>
      </w:r>
      <w:r>
        <w:rPr>
          <w:lang w:eastAsia="ja-JP"/>
        </w:rPr>
        <w:t>) and the NR-U 1Tx PC5 MPR (</w:t>
      </w:r>
      <w:r w:rsidRPr="00AA6DF4">
        <w:rPr>
          <w:lang w:eastAsia="ja-JP"/>
        </w:rPr>
        <w:t>Table 6.2F.2-1</w:t>
      </w:r>
      <w:r>
        <w:rPr>
          <w:lang w:eastAsia="ja-JP"/>
        </w:rPr>
        <w:t>). We observe with highlighted cells</w:t>
      </w:r>
      <w:r w:rsidR="008C33B8">
        <w:rPr>
          <w:lang w:eastAsia="ja-JP"/>
        </w:rPr>
        <w:t xml:space="preserve"> that</w:t>
      </w:r>
      <w:r>
        <w:rPr>
          <w:lang w:eastAsia="ja-JP"/>
        </w:rPr>
        <w:t>:</w:t>
      </w:r>
    </w:p>
    <w:p w14:paraId="5549CD2B" w14:textId="4F100803" w:rsidR="00D64765" w:rsidRDefault="00D64765" w:rsidP="00D64765">
      <w:pPr>
        <w:pStyle w:val="ListParagraph"/>
        <w:numPr>
          <w:ilvl w:val="0"/>
          <w:numId w:val="37"/>
        </w:numPr>
        <w:jc w:val="both"/>
        <w:rPr>
          <w:lang w:eastAsia="ja-JP"/>
        </w:rPr>
      </w:pPr>
      <w:r>
        <w:rPr>
          <w:lang w:eastAsia="ja-JP"/>
        </w:rPr>
        <w:t>in orange, for the case of DFT-s-OFDM Pi/2 BPSK, the NR-U</w:t>
      </w:r>
      <w:r w:rsidR="008C33B8">
        <w:rPr>
          <w:lang w:eastAsia="ja-JP"/>
        </w:rPr>
        <w:t xml:space="preserve"> PC3</w:t>
      </w:r>
      <w:r>
        <w:rPr>
          <w:lang w:eastAsia="ja-JP"/>
        </w:rPr>
        <w:t xml:space="preserve"> MPR is </w:t>
      </w:r>
      <w:r w:rsidR="008C33B8">
        <w:rPr>
          <w:lang w:eastAsia="ja-JP"/>
        </w:rPr>
        <w:t xml:space="preserve">1dB </w:t>
      </w:r>
      <w:r>
        <w:rPr>
          <w:lang w:eastAsia="ja-JP"/>
        </w:rPr>
        <w:t xml:space="preserve">greater than the NR </w:t>
      </w:r>
      <w:r w:rsidR="008C33B8">
        <w:rPr>
          <w:lang w:eastAsia="ja-JP"/>
        </w:rPr>
        <w:t>PC3 MPR</w:t>
      </w:r>
      <w:r>
        <w:rPr>
          <w:lang w:eastAsia="ja-JP"/>
        </w:rPr>
        <w:t>,</w:t>
      </w:r>
    </w:p>
    <w:p w14:paraId="0B50DA6B" w14:textId="77C80648" w:rsidR="00D64765" w:rsidRDefault="00D64765" w:rsidP="00D64765">
      <w:pPr>
        <w:pStyle w:val="ListParagraph"/>
        <w:numPr>
          <w:ilvl w:val="0"/>
          <w:numId w:val="37"/>
        </w:numPr>
        <w:jc w:val="both"/>
        <w:rPr>
          <w:lang w:eastAsia="ja-JP"/>
        </w:rPr>
      </w:pPr>
      <w:r>
        <w:rPr>
          <w:lang w:eastAsia="ja-JP"/>
        </w:rPr>
        <w:t>in yellow, for</w:t>
      </w:r>
      <w:r w:rsidRPr="00B66045">
        <w:rPr>
          <w:lang w:eastAsia="ja-JP"/>
        </w:rPr>
        <w:t xml:space="preserve"> </w:t>
      </w:r>
      <w:r>
        <w:rPr>
          <w:lang w:eastAsia="ja-JP"/>
        </w:rPr>
        <w:t xml:space="preserve">the case of DFT-s-OFDM QPSK, the NR-U </w:t>
      </w:r>
      <w:r w:rsidR="008C33B8">
        <w:rPr>
          <w:lang w:eastAsia="ja-JP"/>
        </w:rPr>
        <w:t xml:space="preserve">PC3 </w:t>
      </w:r>
      <w:r>
        <w:rPr>
          <w:lang w:eastAsia="ja-JP"/>
        </w:rPr>
        <w:t>MPR is equal to the NR MPR</w:t>
      </w:r>
      <w:r w:rsidR="008C33B8">
        <w:rPr>
          <w:lang w:eastAsia="ja-JP"/>
        </w:rPr>
        <w:t xml:space="preserve"> PC3</w:t>
      </w:r>
      <w:r>
        <w:rPr>
          <w:lang w:eastAsia="ja-JP"/>
        </w:rPr>
        <w:t>,</w:t>
      </w:r>
    </w:p>
    <w:p w14:paraId="56749256" w14:textId="5B346B86" w:rsidR="008C33B8" w:rsidRDefault="008C33B8" w:rsidP="008C33B8">
      <w:pPr>
        <w:pStyle w:val="ListParagraph"/>
        <w:numPr>
          <w:ilvl w:val="0"/>
          <w:numId w:val="37"/>
        </w:numPr>
        <w:jc w:val="both"/>
        <w:rPr>
          <w:lang w:eastAsia="ja-JP"/>
        </w:rPr>
      </w:pPr>
      <w:r>
        <w:rPr>
          <w:lang w:eastAsia="ja-JP"/>
        </w:rPr>
        <w:t>in grey, for the case of DFT-s-OFDM 64QAM, the NR-U PC3 MPR is only 0.5dB higher than the 16QAM MPR, while for NR-U PC5 there is a 1.5dB difference between 16QAM and 64QAM MPR,</w:t>
      </w:r>
    </w:p>
    <w:p w14:paraId="37D7EEA6" w14:textId="277B6413" w:rsidR="00D64765" w:rsidRDefault="00D64765" w:rsidP="00D64765">
      <w:pPr>
        <w:pStyle w:val="ListParagraph"/>
        <w:numPr>
          <w:ilvl w:val="0"/>
          <w:numId w:val="37"/>
        </w:numPr>
        <w:jc w:val="both"/>
        <w:rPr>
          <w:lang w:eastAsia="ja-JP"/>
        </w:rPr>
      </w:pPr>
      <w:r>
        <w:rPr>
          <w:lang w:eastAsia="ja-JP"/>
        </w:rPr>
        <w:t>in blue, for the case of CP-OFDM QPSK and 16QAM, the 100MHz exceptions MPR are not proposed in [1].</w:t>
      </w:r>
    </w:p>
    <w:p w14:paraId="71EB1D7C" w14:textId="77777777" w:rsidR="00D64765" w:rsidRDefault="00D64765" w:rsidP="00D64765">
      <w:pPr>
        <w:pStyle w:val="Caption"/>
        <w:keepNext/>
        <w:jc w:val="center"/>
      </w:pPr>
      <w:bookmarkStart w:id="10" w:name="_Ref127485572"/>
      <w:r>
        <w:lastRenderedPageBreak/>
        <w:t xml:space="preserve">Table </w:t>
      </w:r>
      <w:r>
        <w:fldChar w:fldCharType="begin"/>
      </w:r>
      <w:r>
        <w:instrText xml:space="preserve"> SEQ Table \* ARABIC </w:instrText>
      </w:r>
      <w:r>
        <w:fldChar w:fldCharType="separate"/>
      </w:r>
      <w:r>
        <w:rPr>
          <w:noProof/>
        </w:rPr>
        <w:t>1</w:t>
      </w:r>
      <w:r>
        <w:fldChar w:fldCharType="end"/>
      </w:r>
      <w:bookmarkEnd w:id="10"/>
      <w:r w:rsidRPr="00673847">
        <w:rPr>
          <w:b w:val="0"/>
          <w:bCs/>
        </w:rPr>
        <w:t xml:space="preserve">: </w:t>
      </w:r>
      <w:r>
        <w:rPr>
          <w:b w:val="0"/>
          <w:bCs/>
        </w:rPr>
        <w:t>1Tx NR-U PC3 [1] vs 1Tx NR PC3 MPR (TS 38.101-1)</w:t>
      </w:r>
    </w:p>
    <w:tbl>
      <w:tblPr>
        <w:tblStyle w:val="TableGrid"/>
        <w:tblW w:w="0" w:type="auto"/>
        <w:jc w:val="center"/>
        <w:tblLook w:val="04A0" w:firstRow="1" w:lastRow="0" w:firstColumn="1" w:lastColumn="0" w:noHBand="0" w:noVBand="1"/>
      </w:tblPr>
      <w:tblGrid>
        <w:gridCol w:w="1528"/>
        <w:gridCol w:w="1479"/>
        <w:gridCol w:w="1211"/>
        <w:gridCol w:w="1377"/>
        <w:gridCol w:w="1437"/>
        <w:gridCol w:w="1336"/>
        <w:gridCol w:w="1263"/>
      </w:tblGrid>
      <w:tr w:rsidR="00D64765" w:rsidRPr="006507CF" w14:paraId="3193D3C6" w14:textId="77777777" w:rsidTr="00F718CE">
        <w:trPr>
          <w:trHeight w:val="237"/>
          <w:jc w:val="center"/>
        </w:trPr>
        <w:tc>
          <w:tcPr>
            <w:tcW w:w="1528" w:type="dxa"/>
            <w:tcBorders>
              <w:top w:val="single" w:sz="4" w:space="0" w:color="auto"/>
              <w:left w:val="single" w:sz="4" w:space="0" w:color="auto"/>
              <w:bottom w:val="nil"/>
              <w:right w:val="single" w:sz="4" w:space="0" w:color="auto"/>
            </w:tcBorders>
            <w:vAlign w:val="center"/>
            <w:hideMark/>
          </w:tcPr>
          <w:p w14:paraId="63D70D50" w14:textId="77777777" w:rsidR="00D64765" w:rsidRPr="006507CF" w:rsidRDefault="00D64765" w:rsidP="00F718CE">
            <w:pPr>
              <w:pStyle w:val="TAH"/>
            </w:pPr>
            <w:r w:rsidRPr="006507CF">
              <w:t>Pre-coding</w:t>
            </w:r>
          </w:p>
        </w:tc>
        <w:tc>
          <w:tcPr>
            <w:tcW w:w="1479" w:type="dxa"/>
            <w:tcBorders>
              <w:top w:val="single" w:sz="4" w:space="0" w:color="auto"/>
              <w:left w:val="single" w:sz="4" w:space="0" w:color="auto"/>
              <w:bottom w:val="nil"/>
              <w:right w:val="single" w:sz="4" w:space="0" w:color="auto"/>
            </w:tcBorders>
            <w:vAlign w:val="center"/>
            <w:hideMark/>
          </w:tcPr>
          <w:p w14:paraId="4C26AC39" w14:textId="77777777" w:rsidR="00D64765" w:rsidRPr="006507CF" w:rsidRDefault="00D64765" w:rsidP="00F718CE">
            <w:pPr>
              <w:pStyle w:val="TAH"/>
            </w:pPr>
            <w:r w:rsidRPr="006507CF">
              <w:t>Modulation</w:t>
            </w:r>
          </w:p>
        </w:tc>
        <w:tc>
          <w:tcPr>
            <w:tcW w:w="2588" w:type="dxa"/>
            <w:gridSpan w:val="2"/>
            <w:tcBorders>
              <w:top w:val="single" w:sz="4" w:space="0" w:color="auto"/>
              <w:left w:val="single" w:sz="4" w:space="0" w:color="auto"/>
              <w:bottom w:val="single" w:sz="4" w:space="0" w:color="auto"/>
              <w:right w:val="single" w:sz="4" w:space="0" w:color="auto"/>
            </w:tcBorders>
            <w:vAlign w:val="center"/>
            <w:hideMark/>
          </w:tcPr>
          <w:p w14:paraId="02A9F1B5" w14:textId="77777777" w:rsidR="00D64765" w:rsidRPr="006507CF" w:rsidRDefault="00D64765" w:rsidP="00F718CE">
            <w:pPr>
              <w:pStyle w:val="TAH"/>
            </w:pPr>
            <w:r>
              <w:t xml:space="preserve">NR-U 1Tx PC3 </w:t>
            </w:r>
            <w:r w:rsidRPr="006507CF">
              <w:t>RB Allocation</w:t>
            </w:r>
          </w:p>
        </w:tc>
        <w:tc>
          <w:tcPr>
            <w:tcW w:w="1437" w:type="dxa"/>
            <w:tcBorders>
              <w:top w:val="single" w:sz="4" w:space="0" w:color="auto"/>
              <w:left w:val="single" w:sz="4" w:space="0" w:color="auto"/>
              <w:bottom w:val="single" w:sz="4" w:space="0" w:color="auto"/>
              <w:right w:val="single" w:sz="4" w:space="0" w:color="auto"/>
            </w:tcBorders>
            <w:vAlign w:val="center"/>
          </w:tcPr>
          <w:p w14:paraId="4CAA6EEA" w14:textId="77777777" w:rsidR="00D64765" w:rsidRPr="006507CF" w:rsidRDefault="00D64765" w:rsidP="00F718CE">
            <w:pPr>
              <w:pStyle w:val="TAH"/>
            </w:pPr>
            <w:r>
              <w:t>NR 1Tx PC3 MPR</w:t>
            </w:r>
          </w:p>
        </w:tc>
        <w:tc>
          <w:tcPr>
            <w:tcW w:w="2599" w:type="dxa"/>
            <w:gridSpan w:val="2"/>
            <w:tcBorders>
              <w:top w:val="single" w:sz="4" w:space="0" w:color="auto"/>
              <w:left w:val="single" w:sz="4" w:space="0" w:color="auto"/>
              <w:bottom w:val="single" w:sz="4" w:space="0" w:color="auto"/>
              <w:right w:val="single" w:sz="4" w:space="0" w:color="auto"/>
            </w:tcBorders>
            <w:vAlign w:val="center"/>
          </w:tcPr>
          <w:p w14:paraId="416DEFC3" w14:textId="77777777" w:rsidR="00D64765" w:rsidRDefault="00D64765" w:rsidP="00F718CE">
            <w:pPr>
              <w:pStyle w:val="TAH"/>
            </w:pPr>
            <w:r>
              <w:t>NR-U 1Tx PC5 MPR</w:t>
            </w:r>
          </w:p>
        </w:tc>
      </w:tr>
      <w:tr w:rsidR="00D64765" w:rsidRPr="006507CF" w14:paraId="129C7D2D" w14:textId="77777777" w:rsidTr="00F718CE">
        <w:trPr>
          <w:trHeight w:val="237"/>
          <w:jc w:val="center"/>
        </w:trPr>
        <w:tc>
          <w:tcPr>
            <w:tcW w:w="1528" w:type="dxa"/>
            <w:tcBorders>
              <w:top w:val="nil"/>
              <w:left w:val="single" w:sz="4" w:space="0" w:color="auto"/>
              <w:bottom w:val="single" w:sz="4" w:space="0" w:color="auto"/>
              <w:right w:val="single" w:sz="4" w:space="0" w:color="auto"/>
            </w:tcBorders>
            <w:vAlign w:val="center"/>
          </w:tcPr>
          <w:p w14:paraId="0F3014CC" w14:textId="77777777" w:rsidR="00D64765" w:rsidRPr="006507CF" w:rsidRDefault="00D64765" w:rsidP="00F718CE">
            <w:pPr>
              <w:pStyle w:val="TAH"/>
            </w:pPr>
          </w:p>
        </w:tc>
        <w:tc>
          <w:tcPr>
            <w:tcW w:w="1479" w:type="dxa"/>
            <w:tcBorders>
              <w:top w:val="nil"/>
              <w:left w:val="single" w:sz="4" w:space="0" w:color="auto"/>
              <w:bottom w:val="single" w:sz="4" w:space="0" w:color="auto"/>
              <w:right w:val="single" w:sz="4" w:space="0" w:color="auto"/>
            </w:tcBorders>
            <w:vAlign w:val="center"/>
          </w:tcPr>
          <w:p w14:paraId="429A7C9F" w14:textId="77777777" w:rsidR="00D64765" w:rsidRPr="006507CF" w:rsidRDefault="00D64765" w:rsidP="00F718CE">
            <w:pPr>
              <w:pStyle w:val="TAH"/>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BABC78A" w14:textId="77777777" w:rsidR="00D64765" w:rsidRPr="006507CF" w:rsidRDefault="00D64765" w:rsidP="00F718CE">
            <w:pPr>
              <w:pStyle w:val="TAH"/>
            </w:pPr>
            <w:r w:rsidRPr="006507CF">
              <w:t>Full</w:t>
            </w:r>
            <w:r w:rsidRPr="006507CF">
              <w:rPr>
                <w:bCs/>
                <w:vertAlign w:val="superscript"/>
              </w:rPr>
              <w:t>2</w:t>
            </w:r>
            <w:r w:rsidRPr="006507CF">
              <w:t xml:space="preserve"> (dB)</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812C290" w14:textId="77777777" w:rsidR="00D64765" w:rsidRPr="006507CF" w:rsidRDefault="00D64765" w:rsidP="00F718CE">
            <w:pPr>
              <w:pStyle w:val="TAH"/>
            </w:pPr>
            <w:r w:rsidRPr="006507CF">
              <w:t>Partial</w:t>
            </w:r>
            <w:r w:rsidRPr="006507CF">
              <w:rPr>
                <w:bCs/>
                <w:vertAlign w:val="superscript"/>
              </w:rPr>
              <w:t>3</w:t>
            </w:r>
            <w:r w:rsidRPr="006507CF">
              <w:t xml:space="preserve"> (dB)</w:t>
            </w:r>
          </w:p>
        </w:tc>
        <w:tc>
          <w:tcPr>
            <w:tcW w:w="1437" w:type="dxa"/>
            <w:tcBorders>
              <w:top w:val="single" w:sz="4" w:space="0" w:color="auto"/>
              <w:left w:val="single" w:sz="4" w:space="0" w:color="auto"/>
              <w:bottom w:val="single" w:sz="4" w:space="0" w:color="auto"/>
              <w:right w:val="single" w:sz="4" w:space="0" w:color="auto"/>
            </w:tcBorders>
            <w:vAlign w:val="center"/>
          </w:tcPr>
          <w:p w14:paraId="12BEE874" w14:textId="77777777" w:rsidR="00D64765" w:rsidRPr="006507CF" w:rsidRDefault="00D64765" w:rsidP="00F718CE">
            <w:pPr>
              <w:pStyle w:val="TAH"/>
            </w:pPr>
            <w:r>
              <w:t>Outer RB allocations</w:t>
            </w:r>
          </w:p>
        </w:tc>
        <w:tc>
          <w:tcPr>
            <w:tcW w:w="1336" w:type="dxa"/>
            <w:tcBorders>
              <w:top w:val="single" w:sz="4" w:space="0" w:color="auto"/>
              <w:left w:val="single" w:sz="4" w:space="0" w:color="auto"/>
              <w:bottom w:val="single" w:sz="4" w:space="0" w:color="auto"/>
              <w:right w:val="single" w:sz="4" w:space="0" w:color="auto"/>
            </w:tcBorders>
            <w:vAlign w:val="center"/>
          </w:tcPr>
          <w:p w14:paraId="40E87153" w14:textId="77777777" w:rsidR="00D64765" w:rsidRPr="006507CF" w:rsidRDefault="00D64765" w:rsidP="00F718CE">
            <w:pPr>
              <w:pStyle w:val="TAH"/>
            </w:pPr>
            <w:r w:rsidRPr="006507CF">
              <w:t>Full</w:t>
            </w:r>
            <w:r w:rsidRPr="006507CF">
              <w:rPr>
                <w:bCs/>
                <w:vertAlign w:val="superscript"/>
              </w:rPr>
              <w:t>2</w:t>
            </w:r>
            <w:r w:rsidRPr="006507CF">
              <w:t xml:space="preserve"> (dB)</w:t>
            </w:r>
          </w:p>
        </w:tc>
        <w:tc>
          <w:tcPr>
            <w:tcW w:w="1263" w:type="dxa"/>
            <w:tcBorders>
              <w:top w:val="single" w:sz="4" w:space="0" w:color="auto"/>
              <w:left w:val="single" w:sz="4" w:space="0" w:color="auto"/>
              <w:bottom w:val="single" w:sz="4" w:space="0" w:color="auto"/>
              <w:right w:val="single" w:sz="4" w:space="0" w:color="auto"/>
            </w:tcBorders>
            <w:vAlign w:val="center"/>
          </w:tcPr>
          <w:p w14:paraId="3050460F" w14:textId="77777777" w:rsidR="00D64765" w:rsidRPr="00AA6DF4" w:rsidRDefault="00D64765" w:rsidP="00F718CE">
            <w:pPr>
              <w:pStyle w:val="TAH"/>
            </w:pPr>
            <w:r w:rsidRPr="00AA6DF4">
              <w:rPr>
                <w:rFonts w:cs="Arial"/>
                <w:color w:val="000000"/>
                <w:szCs w:val="18"/>
              </w:rPr>
              <w:t>Exception for 100MHz Full</w:t>
            </w:r>
            <w:r w:rsidRPr="00AA6DF4">
              <w:rPr>
                <w:rFonts w:cs="Arial"/>
                <w:color w:val="000000"/>
                <w:szCs w:val="18"/>
                <w:vertAlign w:val="superscript"/>
              </w:rPr>
              <w:t>5</w:t>
            </w:r>
            <w:r w:rsidRPr="00AA6DF4">
              <w:rPr>
                <w:rFonts w:cs="Arial"/>
                <w:color w:val="000000"/>
                <w:szCs w:val="18"/>
              </w:rPr>
              <w:t xml:space="preserve"> (dB)</w:t>
            </w:r>
          </w:p>
        </w:tc>
      </w:tr>
      <w:tr w:rsidR="00D64765" w:rsidRPr="006507CF" w14:paraId="5A5F1B41" w14:textId="77777777" w:rsidTr="00F718CE">
        <w:trPr>
          <w:trHeight w:val="20"/>
          <w:jc w:val="center"/>
        </w:trPr>
        <w:tc>
          <w:tcPr>
            <w:tcW w:w="1528" w:type="dxa"/>
            <w:tcBorders>
              <w:top w:val="single" w:sz="4" w:space="0" w:color="auto"/>
              <w:left w:val="single" w:sz="4" w:space="0" w:color="auto"/>
              <w:bottom w:val="nil"/>
              <w:right w:val="single" w:sz="4" w:space="0" w:color="auto"/>
            </w:tcBorders>
            <w:hideMark/>
          </w:tcPr>
          <w:p w14:paraId="187AE504" w14:textId="77777777" w:rsidR="00D64765" w:rsidRPr="006507CF" w:rsidRDefault="00D64765" w:rsidP="00F718CE">
            <w:pPr>
              <w:pStyle w:val="FL"/>
              <w:spacing w:before="0" w:after="0"/>
              <w:rPr>
                <w:b w:val="0"/>
                <w:bCs/>
                <w:sz w:val="18"/>
                <w:szCs w:val="18"/>
              </w:rPr>
            </w:pPr>
            <w:r w:rsidRPr="006507CF">
              <w:rPr>
                <w:b w:val="0"/>
                <w:bCs/>
                <w:sz w:val="18"/>
                <w:szCs w:val="18"/>
              </w:rPr>
              <w:t>DFT-s-ODFM</w:t>
            </w:r>
          </w:p>
        </w:tc>
        <w:tc>
          <w:tcPr>
            <w:tcW w:w="147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DB090BD"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Pi/2 BPSK</w:t>
            </w:r>
            <w:r w:rsidRPr="006507CF">
              <w:rPr>
                <w:rFonts w:cs="Arial"/>
                <w:b w:val="0"/>
                <w:bCs/>
                <w:sz w:val="18"/>
                <w:szCs w:val="18"/>
                <w:vertAlign w:val="superscript"/>
              </w:rPr>
              <w:t>4</w:t>
            </w:r>
          </w:p>
        </w:tc>
        <w:tc>
          <w:tcPr>
            <w:tcW w:w="1211" w:type="dxa"/>
            <w:tcBorders>
              <w:top w:val="single" w:sz="4" w:space="0" w:color="auto"/>
              <w:left w:val="single" w:sz="4" w:space="0" w:color="auto"/>
              <w:bottom w:val="single" w:sz="4" w:space="0" w:color="auto"/>
              <w:right w:val="single" w:sz="4" w:space="0" w:color="auto"/>
            </w:tcBorders>
            <w:shd w:val="clear" w:color="auto" w:fill="FFC000" w:themeFill="accent4"/>
            <w:vAlign w:val="bottom"/>
            <w:hideMark/>
          </w:tcPr>
          <w:p w14:paraId="39AD64AC"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1.0</w:t>
            </w:r>
          </w:p>
        </w:tc>
        <w:tc>
          <w:tcPr>
            <w:tcW w:w="1377" w:type="dxa"/>
            <w:tcBorders>
              <w:top w:val="single" w:sz="4" w:space="0" w:color="auto"/>
              <w:left w:val="single" w:sz="4" w:space="0" w:color="auto"/>
              <w:bottom w:val="single" w:sz="4" w:space="0" w:color="auto"/>
              <w:right w:val="single" w:sz="4" w:space="0" w:color="auto"/>
            </w:tcBorders>
            <w:vAlign w:val="bottom"/>
            <w:hideMark/>
          </w:tcPr>
          <w:p w14:paraId="4BFBF54C"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1.5</w:t>
            </w:r>
          </w:p>
        </w:tc>
        <w:tc>
          <w:tcPr>
            <w:tcW w:w="1437" w:type="dxa"/>
            <w:tcBorders>
              <w:top w:val="single" w:sz="4" w:space="0" w:color="auto"/>
              <w:left w:val="single" w:sz="4" w:space="0" w:color="auto"/>
              <w:bottom w:val="single" w:sz="4" w:space="0" w:color="auto"/>
              <w:right w:val="single" w:sz="4" w:space="0" w:color="auto"/>
            </w:tcBorders>
            <w:shd w:val="clear" w:color="auto" w:fill="FFC000" w:themeFill="accent4"/>
          </w:tcPr>
          <w:p w14:paraId="1BFE4425" w14:textId="77777777" w:rsidR="00D64765" w:rsidRPr="003460DA" w:rsidRDefault="00D64765" w:rsidP="00F718CE">
            <w:pPr>
              <w:pStyle w:val="FL"/>
              <w:spacing w:before="0" w:after="0"/>
              <w:rPr>
                <w:rFonts w:cs="Arial"/>
                <w:b w:val="0"/>
                <w:bCs/>
                <w:sz w:val="18"/>
                <w:szCs w:val="18"/>
              </w:rPr>
            </w:pPr>
            <w:r w:rsidRPr="003460DA">
              <w:rPr>
                <w:rFonts w:cs="Arial"/>
                <w:b w:val="0"/>
                <w:bCs/>
                <w:sz w:val="18"/>
                <w:szCs w:val="18"/>
              </w:rPr>
              <w:t>0</w:t>
            </w:r>
          </w:p>
        </w:tc>
        <w:tc>
          <w:tcPr>
            <w:tcW w:w="1336" w:type="dxa"/>
            <w:tcBorders>
              <w:top w:val="single" w:sz="4" w:space="0" w:color="auto"/>
              <w:left w:val="single" w:sz="4" w:space="0" w:color="auto"/>
              <w:bottom w:val="single" w:sz="4" w:space="0" w:color="auto"/>
              <w:right w:val="single" w:sz="4" w:space="0" w:color="auto"/>
            </w:tcBorders>
          </w:tcPr>
          <w:p w14:paraId="048909A0" w14:textId="77777777" w:rsidR="00D64765" w:rsidRPr="006507CF" w:rsidRDefault="00D64765" w:rsidP="00F718C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263" w:type="dxa"/>
            <w:tcBorders>
              <w:top w:val="single" w:sz="4" w:space="0" w:color="auto"/>
              <w:left w:val="single" w:sz="4" w:space="0" w:color="auto"/>
              <w:bottom w:val="single" w:sz="4" w:space="0" w:color="auto"/>
              <w:right w:val="single" w:sz="4" w:space="0" w:color="auto"/>
            </w:tcBorders>
          </w:tcPr>
          <w:p w14:paraId="1842EBDC" w14:textId="77777777" w:rsidR="00D64765" w:rsidRPr="006507CF" w:rsidRDefault="00D64765" w:rsidP="00F718CE">
            <w:pPr>
              <w:pStyle w:val="FL"/>
              <w:spacing w:before="0" w:after="0"/>
              <w:rPr>
                <w:rFonts w:cs="Arial"/>
                <w:b w:val="0"/>
                <w:bCs/>
                <w:sz w:val="18"/>
                <w:szCs w:val="18"/>
              </w:rPr>
            </w:pPr>
          </w:p>
        </w:tc>
      </w:tr>
      <w:tr w:rsidR="00D64765" w:rsidRPr="006507CF" w14:paraId="55B816D3" w14:textId="77777777" w:rsidTr="00F718CE">
        <w:trPr>
          <w:trHeight w:val="20"/>
          <w:jc w:val="center"/>
        </w:trPr>
        <w:tc>
          <w:tcPr>
            <w:tcW w:w="1528" w:type="dxa"/>
            <w:tcBorders>
              <w:top w:val="nil"/>
              <w:left w:val="single" w:sz="4" w:space="0" w:color="auto"/>
              <w:bottom w:val="nil"/>
              <w:right w:val="single" w:sz="4" w:space="0" w:color="auto"/>
            </w:tcBorders>
          </w:tcPr>
          <w:p w14:paraId="0DA57FA2" w14:textId="77777777" w:rsidR="00D64765" w:rsidRPr="006507CF" w:rsidRDefault="00D64765" w:rsidP="00F718CE">
            <w:pPr>
              <w:pStyle w:val="FL"/>
              <w:spacing w:before="0" w:after="0"/>
              <w:rPr>
                <w:b w:val="0"/>
                <w:bCs/>
                <w:sz w:val="18"/>
                <w:szCs w:val="18"/>
              </w:rPr>
            </w:pPr>
          </w:p>
        </w:tc>
        <w:tc>
          <w:tcPr>
            <w:tcW w:w="1479" w:type="dxa"/>
            <w:tcBorders>
              <w:top w:val="single" w:sz="4" w:space="0" w:color="auto"/>
              <w:left w:val="single" w:sz="4" w:space="0" w:color="auto"/>
              <w:bottom w:val="single" w:sz="4" w:space="0" w:color="auto"/>
              <w:right w:val="single" w:sz="4" w:space="0" w:color="auto"/>
            </w:tcBorders>
            <w:shd w:val="clear" w:color="auto" w:fill="FFFF00"/>
            <w:hideMark/>
          </w:tcPr>
          <w:p w14:paraId="211E165C"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QPSK</w:t>
            </w:r>
          </w:p>
        </w:tc>
        <w:tc>
          <w:tcPr>
            <w:tcW w:w="1211" w:type="dxa"/>
            <w:tcBorders>
              <w:top w:val="single" w:sz="4" w:space="0" w:color="auto"/>
              <w:left w:val="single" w:sz="4" w:space="0" w:color="auto"/>
              <w:bottom w:val="single" w:sz="4" w:space="0" w:color="auto"/>
              <w:right w:val="single" w:sz="4" w:space="0" w:color="auto"/>
            </w:tcBorders>
            <w:shd w:val="clear" w:color="auto" w:fill="FFFF00"/>
            <w:vAlign w:val="bottom"/>
            <w:hideMark/>
          </w:tcPr>
          <w:p w14:paraId="1A4C9D38"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1.0</w:t>
            </w:r>
          </w:p>
        </w:tc>
        <w:tc>
          <w:tcPr>
            <w:tcW w:w="1377" w:type="dxa"/>
            <w:tcBorders>
              <w:top w:val="single" w:sz="4" w:space="0" w:color="auto"/>
              <w:left w:val="single" w:sz="4" w:space="0" w:color="auto"/>
              <w:bottom w:val="single" w:sz="4" w:space="0" w:color="auto"/>
              <w:right w:val="single" w:sz="4" w:space="0" w:color="auto"/>
            </w:tcBorders>
            <w:vAlign w:val="bottom"/>
            <w:hideMark/>
          </w:tcPr>
          <w:p w14:paraId="08382000"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2.0</w:t>
            </w:r>
          </w:p>
        </w:tc>
        <w:tc>
          <w:tcPr>
            <w:tcW w:w="1437" w:type="dxa"/>
            <w:tcBorders>
              <w:top w:val="single" w:sz="4" w:space="0" w:color="auto"/>
              <w:left w:val="single" w:sz="4" w:space="0" w:color="auto"/>
              <w:bottom w:val="single" w:sz="4" w:space="0" w:color="auto"/>
              <w:right w:val="single" w:sz="4" w:space="0" w:color="auto"/>
            </w:tcBorders>
            <w:shd w:val="clear" w:color="auto" w:fill="FFFF00"/>
          </w:tcPr>
          <w:p w14:paraId="6C304B62" w14:textId="77777777" w:rsidR="00D64765" w:rsidRPr="003460DA" w:rsidRDefault="00D64765" w:rsidP="00F718CE">
            <w:pPr>
              <w:pStyle w:val="FL"/>
              <w:spacing w:before="0" w:after="0"/>
              <w:rPr>
                <w:rFonts w:cs="Arial"/>
                <w:b w:val="0"/>
                <w:bCs/>
                <w:sz w:val="18"/>
                <w:szCs w:val="18"/>
              </w:rPr>
            </w:pPr>
            <w:r w:rsidRPr="003460DA">
              <w:rPr>
                <w:b w:val="0"/>
                <w:bCs/>
                <w:sz w:val="18"/>
                <w:szCs w:val="18"/>
              </w:rPr>
              <w:t>≤ 1</w:t>
            </w:r>
          </w:p>
        </w:tc>
        <w:tc>
          <w:tcPr>
            <w:tcW w:w="1336" w:type="dxa"/>
            <w:tcBorders>
              <w:top w:val="single" w:sz="4" w:space="0" w:color="auto"/>
              <w:left w:val="single" w:sz="4" w:space="0" w:color="auto"/>
              <w:bottom w:val="single" w:sz="4" w:space="0" w:color="auto"/>
              <w:right w:val="single" w:sz="4" w:space="0" w:color="auto"/>
            </w:tcBorders>
          </w:tcPr>
          <w:p w14:paraId="13C8CEF6" w14:textId="77777777" w:rsidR="00D64765" w:rsidRPr="006507CF" w:rsidRDefault="00D64765" w:rsidP="00F718C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263" w:type="dxa"/>
            <w:tcBorders>
              <w:top w:val="single" w:sz="4" w:space="0" w:color="auto"/>
              <w:left w:val="single" w:sz="4" w:space="0" w:color="auto"/>
              <w:bottom w:val="single" w:sz="4" w:space="0" w:color="auto"/>
              <w:right w:val="single" w:sz="4" w:space="0" w:color="auto"/>
            </w:tcBorders>
          </w:tcPr>
          <w:p w14:paraId="19B87DA0" w14:textId="77777777" w:rsidR="00D64765" w:rsidRPr="006507CF" w:rsidRDefault="00D64765" w:rsidP="00F718CE">
            <w:pPr>
              <w:pStyle w:val="FL"/>
              <w:spacing w:before="0" w:after="0"/>
              <w:rPr>
                <w:rFonts w:cs="Arial"/>
                <w:b w:val="0"/>
                <w:bCs/>
                <w:sz w:val="18"/>
                <w:szCs w:val="18"/>
              </w:rPr>
            </w:pPr>
          </w:p>
        </w:tc>
      </w:tr>
      <w:tr w:rsidR="00D64765" w:rsidRPr="006507CF" w14:paraId="74839CAB" w14:textId="77777777" w:rsidTr="008C33B8">
        <w:trPr>
          <w:trHeight w:val="20"/>
          <w:jc w:val="center"/>
        </w:trPr>
        <w:tc>
          <w:tcPr>
            <w:tcW w:w="1528" w:type="dxa"/>
            <w:tcBorders>
              <w:top w:val="nil"/>
              <w:left w:val="single" w:sz="4" w:space="0" w:color="auto"/>
              <w:bottom w:val="nil"/>
              <w:right w:val="single" w:sz="4" w:space="0" w:color="auto"/>
            </w:tcBorders>
          </w:tcPr>
          <w:p w14:paraId="1250833B" w14:textId="77777777" w:rsidR="00D64765" w:rsidRPr="006507CF" w:rsidRDefault="00D64765" w:rsidP="00F718CE">
            <w:pPr>
              <w:pStyle w:val="FL"/>
              <w:spacing w:before="0" w:after="0"/>
              <w:rPr>
                <w:b w:val="0"/>
                <w:bCs/>
                <w:sz w:val="18"/>
                <w:szCs w:val="18"/>
              </w:rPr>
            </w:pPr>
          </w:p>
        </w:t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C73B76"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16 QAM</w:t>
            </w:r>
          </w:p>
        </w:tc>
        <w:tc>
          <w:tcPr>
            <w:tcW w:w="1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740ED38"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sidRPr="006507CF">
              <w:rPr>
                <w:rFonts w:cs="Arial"/>
                <w:b w:val="0"/>
                <w:bCs/>
                <w:color w:val="000000"/>
                <w:sz w:val="18"/>
                <w:szCs w:val="18"/>
              </w:rPr>
              <w:t>1.5</w:t>
            </w:r>
          </w:p>
        </w:tc>
        <w:tc>
          <w:tcPr>
            <w:tcW w:w="1377" w:type="dxa"/>
            <w:tcBorders>
              <w:top w:val="single" w:sz="4" w:space="0" w:color="auto"/>
              <w:left w:val="single" w:sz="4" w:space="0" w:color="auto"/>
              <w:bottom w:val="single" w:sz="4" w:space="0" w:color="auto"/>
              <w:right w:val="single" w:sz="4" w:space="0" w:color="auto"/>
            </w:tcBorders>
            <w:vAlign w:val="bottom"/>
            <w:hideMark/>
          </w:tcPr>
          <w:p w14:paraId="50D93E88"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2.5</w:t>
            </w:r>
          </w:p>
        </w:tc>
        <w:tc>
          <w:tcPr>
            <w:tcW w:w="1437" w:type="dxa"/>
            <w:tcBorders>
              <w:top w:val="single" w:sz="4" w:space="0" w:color="auto"/>
              <w:left w:val="single" w:sz="4" w:space="0" w:color="auto"/>
              <w:bottom w:val="single" w:sz="4" w:space="0" w:color="auto"/>
              <w:right w:val="single" w:sz="4" w:space="0" w:color="auto"/>
            </w:tcBorders>
          </w:tcPr>
          <w:p w14:paraId="3940C24C" w14:textId="77777777" w:rsidR="00D64765" w:rsidRPr="003460DA" w:rsidRDefault="00D64765" w:rsidP="00F718CE">
            <w:pPr>
              <w:pStyle w:val="FL"/>
              <w:spacing w:before="0" w:after="0"/>
              <w:rPr>
                <w:rFonts w:cs="Arial"/>
                <w:b w:val="0"/>
                <w:bCs/>
                <w:sz w:val="18"/>
                <w:szCs w:val="18"/>
              </w:rPr>
            </w:pPr>
            <w:r w:rsidRPr="003460DA">
              <w:rPr>
                <w:b w:val="0"/>
                <w:bCs/>
                <w:sz w:val="18"/>
                <w:szCs w:val="18"/>
              </w:rPr>
              <w:t>≤ 2</w:t>
            </w:r>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A9DC1" w14:textId="77777777" w:rsidR="00D64765" w:rsidRPr="006507CF" w:rsidRDefault="00D64765" w:rsidP="00F718C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2.0</w:t>
            </w:r>
          </w:p>
        </w:tc>
        <w:tc>
          <w:tcPr>
            <w:tcW w:w="1263" w:type="dxa"/>
            <w:tcBorders>
              <w:top w:val="single" w:sz="4" w:space="0" w:color="auto"/>
              <w:left w:val="single" w:sz="4" w:space="0" w:color="auto"/>
              <w:bottom w:val="single" w:sz="4" w:space="0" w:color="auto"/>
              <w:right w:val="single" w:sz="4" w:space="0" w:color="auto"/>
            </w:tcBorders>
          </w:tcPr>
          <w:p w14:paraId="093294D0" w14:textId="77777777" w:rsidR="00D64765" w:rsidRPr="006507CF" w:rsidRDefault="00D64765" w:rsidP="00F718CE">
            <w:pPr>
              <w:pStyle w:val="FL"/>
              <w:spacing w:before="0" w:after="0"/>
              <w:rPr>
                <w:rFonts w:cs="Arial"/>
                <w:b w:val="0"/>
                <w:bCs/>
                <w:sz w:val="18"/>
                <w:szCs w:val="18"/>
              </w:rPr>
            </w:pPr>
          </w:p>
        </w:tc>
      </w:tr>
      <w:tr w:rsidR="008C33B8" w:rsidRPr="006507CF" w14:paraId="578173F5" w14:textId="77777777" w:rsidTr="008C33B8">
        <w:trPr>
          <w:trHeight w:val="20"/>
          <w:jc w:val="center"/>
        </w:trPr>
        <w:tc>
          <w:tcPr>
            <w:tcW w:w="1528" w:type="dxa"/>
            <w:tcBorders>
              <w:top w:val="nil"/>
              <w:left w:val="single" w:sz="4" w:space="0" w:color="auto"/>
              <w:bottom w:val="nil"/>
              <w:right w:val="single" w:sz="4" w:space="0" w:color="auto"/>
            </w:tcBorders>
          </w:tcPr>
          <w:p w14:paraId="781E334B" w14:textId="77777777" w:rsidR="00D64765" w:rsidRPr="006507CF" w:rsidRDefault="00D64765" w:rsidP="00F718CE">
            <w:pPr>
              <w:pStyle w:val="FL"/>
              <w:spacing w:before="0" w:after="0"/>
              <w:rPr>
                <w:b w:val="0"/>
                <w:bCs/>
                <w:sz w:val="18"/>
                <w:szCs w:val="18"/>
              </w:rPr>
            </w:pPr>
          </w:p>
        </w:tc>
        <w:tc>
          <w:tcPr>
            <w:tcW w:w="1479" w:type="dxa"/>
            <w:tcBorders>
              <w:top w:val="single" w:sz="4" w:space="0" w:color="auto"/>
              <w:left w:val="single" w:sz="4" w:space="0" w:color="auto"/>
              <w:bottom w:val="single" w:sz="4" w:space="0" w:color="auto"/>
              <w:right w:val="single" w:sz="4" w:space="0" w:color="auto"/>
            </w:tcBorders>
            <w:shd w:val="clear" w:color="auto" w:fill="DDDDDD"/>
            <w:hideMark/>
          </w:tcPr>
          <w:p w14:paraId="39A2C918"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64 QAM</w:t>
            </w:r>
          </w:p>
        </w:tc>
        <w:tc>
          <w:tcPr>
            <w:tcW w:w="1211" w:type="dxa"/>
            <w:tcBorders>
              <w:top w:val="single" w:sz="4" w:space="0" w:color="auto"/>
              <w:left w:val="single" w:sz="4" w:space="0" w:color="auto"/>
              <w:bottom w:val="single" w:sz="4" w:space="0" w:color="auto"/>
              <w:right w:val="single" w:sz="4" w:space="0" w:color="auto"/>
            </w:tcBorders>
            <w:shd w:val="clear" w:color="auto" w:fill="DDDDDD"/>
            <w:vAlign w:val="bottom"/>
            <w:hideMark/>
          </w:tcPr>
          <w:p w14:paraId="35097982"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2.0</w:t>
            </w:r>
          </w:p>
        </w:tc>
        <w:tc>
          <w:tcPr>
            <w:tcW w:w="1377" w:type="dxa"/>
            <w:tcBorders>
              <w:top w:val="single" w:sz="4" w:space="0" w:color="auto"/>
              <w:left w:val="single" w:sz="4" w:space="0" w:color="auto"/>
              <w:bottom w:val="single" w:sz="4" w:space="0" w:color="auto"/>
              <w:right w:val="single" w:sz="4" w:space="0" w:color="auto"/>
            </w:tcBorders>
            <w:vAlign w:val="bottom"/>
            <w:hideMark/>
          </w:tcPr>
          <w:p w14:paraId="47873742"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3.0</w:t>
            </w:r>
          </w:p>
        </w:tc>
        <w:tc>
          <w:tcPr>
            <w:tcW w:w="1437" w:type="dxa"/>
            <w:tcBorders>
              <w:top w:val="single" w:sz="4" w:space="0" w:color="auto"/>
              <w:left w:val="single" w:sz="4" w:space="0" w:color="auto"/>
              <w:bottom w:val="single" w:sz="4" w:space="0" w:color="auto"/>
              <w:right w:val="single" w:sz="4" w:space="0" w:color="auto"/>
            </w:tcBorders>
          </w:tcPr>
          <w:p w14:paraId="295FC04F" w14:textId="77777777" w:rsidR="00D64765" w:rsidRPr="003460DA" w:rsidRDefault="00D64765" w:rsidP="00F718CE">
            <w:pPr>
              <w:pStyle w:val="FL"/>
              <w:spacing w:before="0" w:after="0"/>
              <w:rPr>
                <w:rFonts w:cs="Arial"/>
                <w:b w:val="0"/>
                <w:bCs/>
                <w:sz w:val="18"/>
                <w:szCs w:val="18"/>
              </w:rPr>
            </w:pPr>
            <w:r w:rsidRPr="003460DA">
              <w:rPr>
                <w:b w:val="0"/>
                <w:bCs/>
                <w:sz w:val="18"/>
                <w:szCs w:val="18"/>
              </w:rPr>
              <w:t>≤ 2</w:t>
            </w:r>
            <w:r>
              <w:rPr>
                <w:b w:val="0"/>
                <w:bCs/>
                <w:sz w:val="18"/>
                <w:szCs w:val="18"/>
              </w:rPr>
              <w:t>.5</w:t>
            </w:r>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16EAA" w14:textId="77777777" w:rsidR="00D64765" w:rsidRPr="006507CF" w:rsidRDefault="00D64765" w:rsidP="00F718C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3.5</w:t>
            </w:r>
          </w:p>
        </w:tc>
        <w:tc>
          <w:tcPr>
            <w:tcW w:w="1263" w:type="dxa"/>
            <w:tcBorders>
              <w:top w:val="single" w:sz="4" w:space="0" w:color="auto"/>
              <w:left w:val="single" w:sz="4" w:space="0" w:color="auto"/>
              <w:bottom w:val="single" w:sz="4" w:space="0" w:color="auto"/>
              <w:right w:val="single" w:sz="4" w:space="0" w:color="auto"/>
            </w:tcBorders>
          </w:tcPr>
          <w:p w14:paraId="09DF530B" w14:textId="77777777" w:rsidR="00D64765" w:rsidRPr="006507CF" w:rsidRDefault="00D64765" w:rsidP="00F718CE">
            <w:pPr>
              <w:pStyle w:val="FL"/>
              <w:spacing w:before="0" w:after="0"/>
              <w:rPr>
                <w:rFonts w:cs="Arial"/>
                <w:b w:val="0"/>
                <w:bCs/>
                <w:sz w:val="18"/>
                <w:szCs w:val="18"/>
              </w:rPr>
            </w:pPr>
          </w:p>
        </w:tc>
      </w:tr>
      <w:tr w:rsidR="00D64765" w:rsidRPr="006507CF" w14:paraId="2DFA97A8" w14:textId="77777777" w:rsidTr="00F718CE">
        <w:trPr>
          <w:trHeight w:val="20"/>
          <w:jc w:val="center"/>
        </w:trPr>
        <w:tc>
          <w:tcPr>
            <w:tcW w:w="1528" w:type="dxa"/>
            <w:tcBorders>
              <w:top w:val="nil"/>
              <w:left w:val="single" w:sz="4" w:space="0" w:color="auto"/>
              <w:bottom w:val="single" w:sz="4" w:space="0" w:color="auto"/>
              <w:right w:val="single" w:sz="4" w:space="0" w:color="auto"/>
            </w:tcBorders>
          </w:tcPr>
          <w:p w14:paraId="1C4A693B" w14:textId="77777777" w:rsidR="00D64765" w:rsidRPr="006507CF" w:rsidRDefault="00D64765" w:rsidP="00F718CE">
            <w:pPr>
              <w:pStyle w:val="FL"/>
              <w:spacing w:before="0" w:after="0"/>
              <w:rPr>
                <w:b w:val="0"/>
                <w:bCs/>
                <w:sz w:val="18"/>
                <w:szCs w:val="18"/>
              </w:rPr>
            </w:pPr>
          </w:p>
        </w:tc>
        <w:tc>
          <w:tcPr>
            <w:tcW w:w="1479" w:type="dxa"/>
            <w:tcBorders>
              <w:top w:val="single" w:sz="4" w:space="0" w:color="auto"/>
              <w:left w:val="single" w:sz="4" w:space="0" w:color="auto"/>
              <w:bottom w:val="single" w:sz="4" w:space="0" w:color="auto"/>
              <w:right w:val="single" w:sz="4" w:space="0" w:color="auto"/>
            </w:tcBorders>
            <w:hideMark/>
          </w:tcPr>
          <w:p w14:paraId="6DB3AD22"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256 QAM</w:t>
            </w:r>
          </w:p>
        </w:tc>
        <w:tc>
          <w:tcPr>
            <w:tcW w:w="1211" w:type="dxa"/>
            <w:tcBorders>
              <w:top w:val="single" w:sz="4" w:space="0" w:color="auto"/>
              <w:left w:val="single" w:sz="4" w:space="0" w:color="auto"/>
              <w:bottom w:val="single" w:sz="4" w:space="0" w:color="auto"/>
              <w:right w:val="single" w:sz="4" w:space="0" w:color="auto"/>
            </w:tcBorders>
            <w:vAlign w:val="bottom"/>
            <w:hideMark/>
          </w:tcPr>
          <w:p w14:paraId="2105F41B"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4.5</w:t>
            </w:r>
          </w:p>
        </w:tc>
        <w:tc>
          <w:tcPr>
            <w:tcW w:w="1377" w:type="dxa"/>
            <w:tcBorders>
              <w:top w:val="single" w:sz="4" w:space="0" w:color="auto"/>
              <w:left w:val="single" w:sz="4" w:space="0" w:color="auto"/>
              <w:bottom w:val="single" w:sz="4" w:space="0" w:color="auto"/>
              <w:right w:val="single" w:sz="4" w:space="0" w:color="auto"/>
            </w:tcBorders>
            <w:vAlign w:val="bottom"/>
            <w:hideMark/>
          </w:tcPr>
          <w:p w14:paraId="7C7261EF"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4.5</w:t>
            </w:r>
          </w:p>
        </w:tc>
        <w:tc>
          <w:tcPr>
            <w:tcW w:w="1437" w:type="dxa"/>
            <w:tcBorders>
              <w:top w:val="single" w:sz="4" w:space="0" w:color="auto"/>
              <w:left w:val="single" w:sz="4" w:space="0" w:color="auto"/>
              <w:bottom w:val="single" w:sz="4" w:space="0" w:color="auto"/>
              <w:right w:val="single" w:sz="4" w:space="0" w:color="auto"/>
            </w:tcBorders>
          </w:tcPr>
          <w:p w14:paraId="4B23FB85" w14:textId="77777777" w:rsidR="00D64765" w:rsidRPr="003460DA" w:rsidRDefault="00D64765" w:rsidP="00F718CE">
            <w:pPr>
              <w:pStyle w:val="FL"/>
              <w:spacing w:before="0" w:after="0"/>
              <w:rPr>
                <w:rFonts w:cs="Arial"/>
                <w:b w:val="0"/>
                <w:bCs/>
                <w:sz w:val="18"/>
                <w:szCs w:val="18"/>
              </w:rPr>
            </w:pPr>
            <w:r w:rsidRPr="003460DA">
              <w:rPr>
                <w:b w:val="0"/>
                <w:bCs/>
                <w:sz w:val="18"/>
                <w:szCs w:val="18"/>
              </w:rPr>
              <w:t xml:space="preserve">≤ </w:t>
            </w:r>
            <w:r>
              <w:rPr>
                <w:b w:val="0"/>
                <w:bCs/>
                <w:sz w:val="18"/>
                <w:szCs w:val="18"/>
              </w:rPr>
              <w:t>4.5</w:t>
            </w:r>
          </w:p>
        </w:tc>
        <w:tc>
          <w:tcPr>
            <w:tcW w:w="1336" w:type="dxa"/>
            <w:tcBorders>
              <w:top w:val="single" w:sz="4" w:space="0" w:color="auto"/>
              <w:left w:val="single" w:sz="4" w:space="0" w:color="auto"/>
              <w:bottom w:val="single" w:sz="4" w:space="0" w:color="auto"/>
              <w:right w:val="single" w:sz="4" w:space="0" w:color="auto"/>
            </w:tcBorders>
          </w:tcPr>
          <w:p w14:paraId="3E74F429" w14:textId="77777777" w:rsidR="00D64765" w:rsidRPr="006507CF" w:rsidRDefault="00D64765" w:rsidP="00F718C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3" w:type="dxa"/>
            <w:tcBorders>
              <w:top w:val="single" w:sz="4" w:space="0" w:color="auto"/>
              <w:left w:val="single" w:sz="4" w:space="0" w:color="auto"/>
              <w:bottom w:val="single" w:sz="4" w:space="0" w:color="auto"/>
              <w:right w:val="single" w:sz="4" w:space="0" w:color="auto"/>
            </w:tcBorders>
          </w:tcPr>
          <w:p w14:paraId="27C79061" w14:textId="77777777" w:rsidR="00D64765" w:rsidRPr="006507CF" w:rsidRDefault="00D64765" w:rsidP="00F718CE">
            <w:pPr>
              <w:pStyle w:val="FL"/>
              <w:spacing w:before="0" w:after="0"/>
              <w:rPr>
                <w:rFonts w:cs="Arial"/>
                <w:b w:val="0"/>
                <w:bCs/>
                <w:sz w:val="18"/>
                <w:szCs w:val="18"/>
              </w:rPr>
            </w:pPr>
          </w:p>
        </w:tc>
      </w:tr>
      <w:tr w:rsidR="00D64765" w:rsidRPr="006507CF" w14:paraId="2F127174" w14:textId="77777777" w:rsidTr="00F718CE">
        <w:trPr>
          <w:trHeight w:val="20"/>
          <w:jc w:val="center"/>
        </w:trPr>
        <w:tc>
          <w:tcPr>
            <w:tcW w:w="1528" w:type="dxa"/>
            <w:tcBorders>
              <w:top w:val="single" w:sz="4" w:space="0" w:color="auto"/>
              <w:left w:val="single" w:sz="4" w:space="0" w:color="auto"/>
              <w:bottom w:val="nil"/>
              <w:right w:val="single" w:sz="4" w:space="0" w:color="auto"/>
            </w:tcBorders>
            <w:hideMark/>
          </w:tcPr>
          <w:p w14:paraId="0198C746" w14:textId="77777777" w:rsidR="00D64765" w:rsidRPr="006507CF" w:rsidRDefault="00D64765" w:rsidP="00F718CE">
            <w:pPr>
              <w:pStyle w:val="FL"/>
              <w:spacing w:before="0" w:after="0"/>
              <w:rPr>
                <w:b w:val="0"/>
                <w:bCs/>
                <w:sz w:val="18"/>
                <w:szCs w:val="18"/>
              </w:rPr>
            </w:pPr>
            <w:r w:rsidRPr="006507CF">
              <w:rPr>
                <w:b w:val="0"/>
                <w:bCs/>
                <w:sz w:val="18"/>
                <w:szCs w:val="18"/>
              </w:rPr>
              <w:t>CP-OFDM</w:t>
            </w:r>
          </w:p>
        </w:tc>
        <w:tc>
          <w:tcPr>
            <w:tcW w:w="1479" w:type="dxa"/>
            <w:tcBorders>
              <w:top w:val="single" w:sz="4" w:space="0" w:color="auto"/>
              <w:left w:val="single" w:sz="4" w:space="0" w:color="auto"/>
              <w:bottom w:val="single" w:sz="4" w:space="0" w:color="auto"/>
              <w:right w:val="single" w:sz="4" w:space="0" w:color="auto"/>
            </w:tcBorders>
            <w:hideMark/>
          </w:tcPr>
          <w:p w14:paraId="5D218798"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QPSK</w:t>
            </w:r>
          </w:p>
        </w:tc>
        <w:tc>
          <w:tcPr>
            <w:tcW w:w="1211" w:type="dxa"/>
            <w:tcBorders>
              <w:top w:val="single" w:sz="4" w:space="0" w:color="auto"/>
              <w:left w:val="single" w:sz="4" w:space="0" w:color="auto"/>
              <w:bottom w:val="single" w:sz="4" w:space="0" w:color="auto"/>
              <w:right w:val="single" w:sz="4" w:space="0" w:color="auto"/>
            </w:tcBorders>
            <w:vAlign w:val="bottom"/>
            <w:hideMark/>
          </w:tcPr>
          <w:p w14:paraId="6A5BB0C7"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2.0</w:t>
            </w:r>
          </w:p>
        </w:tc>
        <w:tc>
          <w:tcPr>
            <w:tcW w:w="1377" w:type="dxa"/>
            <w:tcBorders>
              <w:top w:val="single" w:sz="4" w:space="0" w:color="auto"/>
              <w:left w:val="single" w:sz="4" w:space="0" w:color="auto"/>
              <w:bottom w:val="single" w:sz="4" w:space="0" w:color="auto"/>
              <w:right w:val="single" w:sz="4" w:space="0" w:color="auto"/>
            </w:tcBorders>
            <w:vAlign w:val="bottom"/>
            <w:hideMark/>
          </w:tcPr>
          <w:p w14:paraId="5A99B070"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3.5</w:t>
            </w:r>
          </w:p>
        </w:tc>
        <w:tc>
          <w:tcPr>
            <w:tcW w:w="1437" w:type="dxa"/>
            <w:tcBorders>
              <w:top w:val="single" w:sz="4" w:space="0" w:color="auto"/>
              <w:left w:val="single" w:sz="4" w:space="0" w:color="auto"/>
              <w:bottom w:val="single" w:sz="4" w:space="0" w:color="auto"/>
              <w:right w:val="single" w:sz="4" w:space="0" w:color="auto"/>
            </w:tcBorders>
          </w:tcPr>
          <w:p w14:paraId="551292FA" w14:textId="77777777" w:rsidR="00D64765" w:rsidRPr="003460DA" w:rsidRDefault="00D64765" w:rsidP="00F718CE">
            <w:pPr>
              <w:pStyle w:val="FL"/>
              <w:spacing w:before="0" w:after="0"/>
              <w:rPr>
                <w:rFonts w:cs="Arial"/>
                <w:b w:val="0"/>
                <w:bCs/>
                <w:sz w:val="18"/>
                <w:szCs w:val="18"/>
              </w:rPr>
            </w:pPr>
            <w:r w:rsidRPr="003460DA">
              <w:rPr>
                <w:b w:val="0"/>
                <w:bCs/>
                <w:sz w:val="18"/>
                <w:szCs w:val="18"/>
              </w:rPr>
              <w:t xml:space="preserve">≤ </w:t>
            </w:r>
            <w:r>
              <w:rPr>
                <w:b w:val="0"/>
                <w:bCs/>
                <w:sz w:val="18"/>
                <w:szCs w:val="18"/>
              </w:rPr>
              <w:t>3.0</w:t>
            </w:r>
          </w:p>
        </w:tc>
        <w:tc>
          <w:tcPr>
            <w:tcW w:w="1336" w:type="dxa"/>
            <w:tcBorders>
              <w:top w:val="single" w:sz="4" w:space="0" w:color="auto"/>
              <w:left w:val="single" w:sz="4" w:space="0" w:color="auto"/>
              <w:bottom w:val="single" w:sz="4" w:space="0" w:color="auto"/>
              <w:right w:val="single" w:sz="4" w:space="0" w:color="auto"/>
            </w:tcBorders>
          </w:tcPr>
          <w:p w14:paraId="449D55F0" w14:textId="77777777" w:rsidR="00D64765" w:rsidRPr="006507CF" w:rsidRDefault="00D64765" w:rsidP="00F718C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3.5</w:t>
            </w:r>
          </w:p>
        </w:tc>
        <w:tc>
          <w:tcPr>
            <w:tcW w:w="1263" w:type="dxa"/>
            <w:tcBorders>
              <w:top w:val="single" w:sz="4" w:space="0" w:color="auto"/>
              <w:left w:val="single" w:sz="4" w:space="0" w:color="auto"/>
              <w:bottom w:val="single" w:sz="4" w:space="0" w:color="auto"/>
              <w:right w:val="single" w:sz="4" w:space="0" w:color="auto"/>
            </w:tcBorders>
            <w:shd w:val="clear" w:color="auto" w:fill="7DDDFF"/>
          </w:tcPr>
          <w:p w14:paraId="62F6BF36" w14:textId="296BEC22" w:rsidR="00D64765" w:rsidRPr="006507CF" w:rsidRDefault="00D64765" w:rsidP="00F718CE">
            <w:pPr>
              <w:pStyle w:val="FL"/>
              <w:spacing w:before="0" w:after="0"/>
              <w:rPr>
                <w:rFonts w:cs="Arial"/>
                <w:b w:val="0"/>
                <w:bCs/>
                <w:sz w:val="18"/>
                <w:szCs w:val="18"/>
              </w:rPr>
            </w:pPr>
            <w:r w:rsidRPr="003460DA">
              <w:rPr>
                <w:b w:val="0"/>
                <w:bCs/>
                <w:sz w:val="18"/>
                <w:szCs w:val="18"/>
              </w:rPr>
              <w:t xml:space="preserve">≤ </w:t>
            </w:r>
            <w:r>
              <w:rPr>
                <w:b w:val="0"/>
                <w:bCs/>
                <w:sz w:val="18"/>
                <w:szCs w:val="18"/>
              </w:rPr>
              <w:t>4.5</w:t>
            </w:r>
          </w:p>
        </w:tc>
      </w:tr>
      <w:tr w:rsidR="00D64765" w:rsidRPr="006507CF" w14:paraId="5BF0FDC4" w14:textId="77777777" w:rsidTr="00F718CE">
        <w:trPr>
          <w:trHeight w:val="20"/>
          <w:jc w:val="center"/>
        </w:trPr>
        <w:tc>
          <w:tcPr>
            <w:tcW w:w="1528" w:type="dxa"/>
            <w:tcBorders>
              <w:top w:val="nil"/>
              <w:left w:val="single" w:sz="4" w:space="0" w:color="auto"/>
              <w:bottom w:val="nil"/>
              <w:right w:val="single" w:sz="4" w:space="0" w:color="auto"/>
            </w:tcBorders>
          </w:tcPr>
          <w:p w14:paraId="71974C20" w14:textId="77777777" w:rsidR="00D64765" w:rsidRPr="006507CF" w:rsidRDefault="00D64765" w:rsidP="00F718CE">
            <w:pPr>
              <w:pStyle w:val="FL"/>
              <w:spacing w:before="0" w:after="0"/>
              <w:rPr>
                <w:b w:val="0"/>
                <w:bCs/>
                <w:sz w:val="18"/>
                <w:szCs w:val="18"/>
              </w:rPr>
            </w:pPr>
          </w:p>
        </w:tc>
        <w:tc>
          <w:tcPr>
            <w:tcW w:w="1479" w:type="dxa"/>
            <w:tcBorders>
              <w:top w:val="single" w:sz="4" w:space="0" w:color="auto"/>
              <w:left w:val="single" w:sz="4" w:space="0" w:color="auto"/>
              <w:bottom w:val="single" w:sz="4" w:space="0" w:color="auto"/>
              <w:right w:val="single" w:sz="4" w:space="0" w:color="auto"/>
            </w:tcBorders>
            <w:hideMark/>
          </w:tcPr>
          <w:p w14:paraId="5450516C"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16 QAM</w:t>
            </w:r>
          </w:p>
        </w:tc>
        <w:tc>
          <w:tcPr>
            <w:tcW w:w="1211" w:type="dxa"/>
            <w:tcBorders>
              <w:top w:val="single" w:sz="4" w:space="0" w:color="auto"/>
              <w:left w:val="single" w:sz="4" w:space="0" w:color="auto"/>
              <w:bottom w:val="single" w:sz="4" w:space="0" w:color="auto"/>
              <w:right w:val="single" w:sz="4" w:space="0" w:color="auto"/>
            </w:tcBorders>
            <w:vAlign w:val="bottom"/>
            <w:hideMark/>
          </w:tcPr>
          <w:p w14:paraId="2850885C"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2.5</w:t>
            </w:r>
          </w:p>
        </w:tc>
        <w:tc>
          <w:tcPr>
            <w:tcW w:w="1377" w:type="dxa"/>
            <w:tcBorders>
              <w:top w:val="single" w:sz="4" w:space="0" w:color="auto"/>
              <w:left w:val="single" w:sz="4" w:space="0" w:color="auto"/>
              <w:bottom w:val="single" w:sz="4" w:space="0" w:color="auto"/>
              <w:right w:val="single" w:sz="4" w:space="0" w:color="auto"/>
            </w:tcBorders>
            <w:vAlign w:val="bottom"/>
            <w:hideMark/>
          </w:tcPr>
          <w:p w14:paraId="348BE905"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3.5</w:t>
            </w:r>
          </w:p>
        </w:tc>
        <w:tc>
          <w:tcPr>
            <w:tcW w:w="1437" w:type="dxa"/>
            <w:tcBorders>
              <w:top w:val="single" w:sz="4" w:space="0" w:color="auto"/>
              <w:left w:val="single" w:sz="4" w:space="0" w:color="auto"/>
              <w:bottom w:val="single" w:sz="4" w:space="0" w:color="auto"/>
              <w:right w:val="single" w:sz="4" w:space="0" w:color="auto"/>
            </w:tcBorders>
          </w:tcPr>
          <w:p w14:paraId="7677361C" w14:textId="77777777" w:rsidR="00D64765" w:rsidRPr="003460DA" w:rsidRDefault="00D64765" w:rsidP="00F718CE">
            <w:pPr>
              <w:pStyle w:val="FL"/>
              <w:spacing w:before="0" w:after="0"/>
              <w:rPr>
                <w:rFonts w:cs="Arial"/>
                <w:b w:val="0"/>
                <w:bCs/>
                <w:sz w:val="18"/>
                <w:szCs w:val="18"/>
              </w:rPr>
            </w:pPr>
            <w:r w:rsidRPr="003460DA">
              <w:rPr>
                <w:b w:val="0"/>
                <w:bCs/>
                <w:sz w:val="18"/>
                <w:szCs w:val="18"/>
              </w:rPr>
              <w:t xml:space="preserve">≤ </w:t>
            </w:r>
            <w:r>
              <w:rPr>
                <w:b w:val="0"/>
                <w:bCs/>
                <w:sz w:val="18"/>
                <w:szCs w:val="18"/>
              </w:rPr>
              <w:t>3.0</w:t>
            </w:r>
          </w:p>
        </w:tc>
        <w:tc>
          <w:tcPr>
            <w:tcW w:w="1336" w:type="dxa"/>
            <w:tcBorders>
              <w:top w:val="single" w:sz="4" w:space="0" w:color="auto"/>
              <w:left w:val="single" w:sz="4" w:space="0" w:color="auto"/>
              <w:bottom w:val="single" w:sz="4" w:space="0" w:color="auto"/>
              <w:right w:val="single" w:sz="4" w:space="0" w:color="auto"/>
            </w:tcBorders>
          </w:tcPr>
          <w:p w14:paraId="5663D372" w14:textId="77777777" w:rsidR="00D64765" w:rsidRPr="006507CF" w:rsidRDefault="00D64765" w:rsidP="00F718C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3" w:type="dxa"/>
            <w:tcBorders>
              <w:top w:val="single" w:sz="4" w:space="0" w:color="auto"/>
              <w:left w:val="single" w:sz="4" w:space="0" w:color="auto"/>
              <w:bottom w:val="single" w:sz="4" w:space="0" w:color="auto"/>
              <w:right w:val="single" w:sz="4" w:space="0" w:color="auto"/>
            </w:tcBorders>
            <w:shd w:val="clear" w:color="auto" w:fill="7DDDFF"/>
          </w:tcPr>
          <w:p w14:paraId="4EB39F3E" w14:textId="77777777" w:rsidR="00D64765" w:rsidRPr="006507CF" w:rsidRDefault="00D64765" w:rsidP="00F718CE">
            <w:pPr>
              <w:pStyle w:val="FL"/>
              <w:spacing w:before="0" w:after="0"/>
              <w:rPr>
                <w:rFonts w:cs="Arial"/>
                <w:b w:val="0"/>
                <w:bCs/>
                <w:sz w:val="18"/>
                <w:szCs w:val="18"/>
              </w:rPr>
            </w:pPr>
            <w:r w:rsidRPr="003460DA">
              <w:rPr>
                <w:b w:val="0"/>
                <w:bCs/>
                <w:sz w:val="18"/>
                <w:szCs w:val="18"/>
              </w:rPr>
              <w:t xml:space="preserve">≤ </w:t>
            </w:r>
            <w:r>
              <w:rPr>
                <w:b w:val="0"/>
                <w:bCs/>
                <w:sz w:val="18"/>
                <w:szCs w:val="18"/>
              </w:rPr>
              <w:t>4.5</w:t>
            </w:r>
          </w:p>
        </w:tc>
      </w:tr>
      <w:tr w:rsidR="00D64765" w:rsidRPr="006507CF" w14:paraId="2A98238A" w14:textId="77777777" w:rsidTr="00F718CE">
        <w:trPr>
          <w:trHeight w:val="20"/>
          <w:jc w:val="center"/>
        </w:trPr>
        <w:tc>
          <w:tcPr>
            <w:tcW w:w="1528" w:type="dxa"/>
            <w:tcBorders>
              <w:top w:val="nil"/>
              <w:left w:val="single" w:sz="4" w:space="0" w:color="auto"/>
              <w:bottom w:val="nil"/>
              <w:right w:val="single" w:sz="4" w:space="0" w:color="auto"/>
            </w:tcBorders>
          </w:tcPr>
          <w:p w14:paraId="474425CA" w14:textId="77777777" w:rsidR="00D64765" w:rsidRPr="006507CF" w:rsidRDefault="00D64765" w:rsidP="00F718CE">
            <w:pPr>
              <w:pStyle w:val="FL"/>
              <w:spacing w:before="0" w:after="0"/>
              <w:rPr>
                <w:b w:val="0"/>
                <w:bCs/>
                <w:sz w:val="18"/>
                <w:szCs w:val="18"/>
              </w:rPr>
            </w:pPr>
          </w:p>
        </w:tc>
        <w:tc>
          <w:tcPr>
            <w:tcW w:w="1479" w:type="dxa"/>
            <w:tcBorders>
              <w:top w:val="single" w:sz="4" w:space="0" w:color="auto"/>
              <w:left w:val="single" w:sz="4" w:space="0" w:color="auto"/>
              <w:bottom w:val="single" w:sz="4" w:space="0" w:color="auto"/>
              <w:right w:val="single" w:sz="4" w:space="0" w:color="auto"/>
            </w:tcBorders>
            <w:hideMark/>
          </w:tcPr>
          <w:p w14:paraId="1C6A8B34"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64 QAM</w:t>
            </w:r>
          </w:p>
        </w:tc>
        <w:tc>
          <w:tcPr>
            <w:tcW w:w="1211" w:type="dxa"/>
            <w:tcBorders>
              <w:top w:val="single" w:sz="4" w:space="0" w:color="auto"/>
              <w:left w:val="single" w:sz="4" w:space="0" w:color="auto"/>
              <w:bottom w:val="single" w:sz="4" w:space="0" w:color="auto"/>
              <w:right w:val="single" w:sz="4" w:space="0" w:color="auto"/>
            </w:tcBorders>
            <w:vAlign w:val="bottom"/>
            <w:hideMark/>
          </w:tcPr>
          <w:p w14:paraId="3E6B150B"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4.0</w:t>
            </w:r>
          </w:p>
        </w:tc>
        <w:tc>
          <w:tcPr>
            <w:tcW w:w="1377" w:type="dxa"/>
            <w:tcBorders>
              <w:top w:val="single" w:sz="4" w:space="0" w:color="auto"/>
              <w:left w:val="single" w:sz="4" w:space="0" w:color="auto"/>
              <w:bottom w:val="single" w:sz="4" w:space="0" w:color="auto"/>
              <w:right w:val="single" w:sz="4" w:space="0" w:color="auto"/>
            </w:tcBorders>
            <w:vAlign w:val="bottom"/>
            <w:hideMark/>
          </w:tcPr>
          <w:p w14:paraId="2D1327F4"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4.5</w:t>
            </w:r>
          </w:p>
        </w:tc>
        <w:tc>
          <w:tcPr>
            <w:tcW w:w="1437" w:type="dxa"/>
            <w:tcBorders>
              <w:top w:val="single" w:sz="4" w:space="0" w:color="auto"/>
              <w:left w:val="single" w:sz="4" w:space="0" w:color="auto"/>
              <w:bottom w:val="single" w:sz="4" w:space="0" w:color="auto"/>
              <w:right w:val="single" w:sz="4" w:space="0" w:color="auto"/>
            </w:tcBorders>
          </w:tcPr>
          <w:p w14:paraId="52F09721" w14:textId="77777777" w:rsidR="00D64765" w:rsidRPr="003460DA" w:rsidRDefault="00D64765" w:rsidP="00F718CE">
            <w:pPr>
              <w:pStyle w:val="FL"/>
              <w:spacing w:before="0" w:after="0"/>
              <w:rPr>
                <w:rFonts w:cs="Arial"/>
                <w:b w:val="0"/>
                <w:bCs/>
                <w:sz w:val="18"/>
                <w:szCs w:val="18"/>
              </w:rPr>
            </w:pPr>
            <w:r w:rsidRPr="003460DA">
              <w:rPr>
                <w:b w:val="0"/>
                <w:bCs/>
                <w:sz w:val="18"/>
                <w:szCs w:val="18"/>
              </w:rPr>
              <w:t xml:space="preserve">≤ </w:t>
            </w:r>
            <w:r>
              <w:rPr>
                <w:b w:val="0"/>
                <w:bCs/>
                <w:sz w:val="18"/>
                <w:szCs w:val="18"/>
              </w:rPr>
              <w:t>3.5</w:t>
            </w:r>
          </w:p>
        </w:tc>
        <w:tc>
          <w:tcPr>
            <w:tcW w:w="1336" w:type="dxa"/>
            <w:tcBorders>
              <w:top w:val="single" w:sz="4" w:space="0" w:color="auto"/>
              <w:left w:val="single" w:sz="4" w:space="0" w:color="auto"/>
              <w:bottom w:val="single" w:sz="4" w:space="0" w:color="auto"/>
              <w:right w:val="single" w:sz="4" w:space="0" w:color="auto"/>
            </w:tcBorders>
          </w:tcPr>
          <w:p w14:paraId="72E29E82" w14:textId="77777777" w:rsidR="00D64765" w:rsidRPr="006507CF" w:rsidRDefault="00D64765" w:rsidP="00F718C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3" w:type="dxa"/>
            <w:tcBorders>
              <w:top w:val="single" w:sz="4" w:space="0" w:color="auto"/>
              <w:left w:val="single" w:sz="4" w:space="0" w:color="auto"/>
              <w:bottom w:val="single" w:sz="4" w:space="0" w:color="auto"/>
              <w:right w:val="single" w:sz="4" w:space="0" w:color="auto"/>
            </w:tcBorders>
          </w:tcPr>
          <w:p w14:paraId="7AE7D30A" w14:textId="77777777" w:rsidR="00D64765" w:rsidRPr="006507CF" w:rsidRDefault="00D64765" w:rsidP="00F718CE">
            <w:pPr>
              <w:pStyle w:val="FL"/>
              <w:spacing w:before="0" w:after="0"/>
              <w:rPr>
                <w:rFonts w:cs="Arial"/>
                <w:b w:val="0"/>
                <w:bCs/>
                <w:sz w:val="18"/>
                <w:szCs w:val="18"/>
              </w:rPr>
            </w:pPr>
          </w:p>
        </w:tc>
      </w:tr>
      <w:tr w:rsidR="00D64765" w:rsidRPr="006507CF" w14:paraId="1DFDEED5" w14:textId="77777777" w:rsidTr="00F718CE">
        <w:trPr>
          <w:trHeight w:val="20"/>
          <w:jc w:val="center"/>
        </w:trPr>
        <w:tc>
          <w:tcPr>
            <w:tcW w:w="1528" w:type="dxa"/>
            <w:tcBorders>
              <w:top w:val="nil"/>
              <w:left w:val="single" w:sz="4" w:space="0" w:color="auto"/>
              <w:bottom w:val="single" w:sz="4" w:space="0" w:color="auto"/>
              <w:right w:val="single" w:sz="4" w:space="0" w:color="auto"/>
            </w:tcBorders>
          </w:tcPr>
          <w:p w14:paraId="2998372E" w14:textId="77777777" w:rsidR="00D64765" w:rsidRPr="006507CF" w:rsidRDefault="00D64765" w:rsidP="00F718CE">
            <w:pPr>
              <w:pStyle w:val="FL"/>
              <w:spacing w:before="0" w:after="0"/>
              <w:rPr>
                <w:b w:val="0"/>
                <w:bCs/>
                <w:sz w:val="18"/>
                <w:szCs w:val="18"/>
              </w:rPr>
            </w:pPr>
          </w:p>
        </w:tc>
        <w:tc>
          <w:tcPr>
            <w:tcW w:w="1479" w:type="dxa"/>
            <w:tcBorders>
              <w:top w:val="single" w:sz="4" w:space="0" w:color="auto"/>
              <w:left w:val="single" w:sz="4" w:space="0" w:color="auto"/>
              <w:bottom w:val="single" w:sz="4" w:space="0" w:color="auto"/>
              <w:right w:val="single" w:sz="4" w:space="0" w:color="auto"/>
            </w:tcBorders>
            <w:hideMark/>
          </w:tcPr>
          <w:p w14:paraId="4F89B594"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256 QAM</w:t>
            </w:r>
          </w:p>
        </w:tc>
        <w:tc>
          <w:tcPr>
            <w:tcW w:w="1211" w:type="dxa"/>
            <w:tcBorders>
              <w:top w:val="single" w:sz="4" w:space="0" w:color="auto"/>
              <w:left w:val="single" w:sz="4" w:space="0" w:color="auto"/>
              <w:bottom w:val="single" w:sz="4" w:space="0" w:color="auto"/>
              <w:right w:val="single" w:sz="4" w:space="0" w:color="auto"/>
            </w:tcBorders>
            <w:vAlign w:val="bottom"/>
            <w:hideMark/>
          </w:tcPr>
          <w:p w14:paraId="7107CEBF"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6.5</w:t>
            </w:r>
          </w:p>
        </w:tc>
        <w:tc>
          <w:tcPr>
            <w:tcW w:w="1377" w:type="dxa"/>
            <w:tcBorders>
              <w:top w:val="single" w:sz="4" w:space="0" w:color="auto"/>
              <w:left w:val="single" w:sz="4" w:space="0" w:color="auto"/>
              <w:bottom w:val="single" w:sz="4" w:space="0" w:color="auto"/>
              <w:right w:val="single" w:sz="4" w:space="0" w:color="auto"/>
            </w:tcBorders>
            <w:vAlign w:val="bottom"/>
            <w:hideMark/>
          </w:tcPr>
          <w:p w14:paraId="53936960" w14:textId="77777777" w:rsidR="00D64765" w:rsidRPr="006507CF" w:rsidRDefault="00D64765" w:rsidP="00F718CE">
            <w:pPr>
              <w:pStyle w:val="FL"/>
              <w:spacing w:before="0" w:after="0"/>
              <w:rPr>
                <w:rFonts w:cs="Arial"/>
                <w:b w:val="0"/>
                <w:bCs/>
                <w:sz w:val="18"/>
                <w:szCs w:val="18"/>
              </w:rPr>
            </w:pPr>
            <w:r w:rsidRPr="006507CF">
              <w:rPr>
                <w:rFonts w:cs="Arial"/>
                <w:b w:val="0"/>
                <w:bCs/>
                <w:sz w:val="18"/>
                <w:szCs w:val="18"/>
              </w:rPr>
              <w:t xml:space="preserve">≤ </w:t>
            </w:r>
            <w:r>
              <w:rPr>
                <w:rFonts w:cs="Arial"/>
                <w:b w:val="0"/>
                <w:bCs/>
                <w:sz w:val="18"/>
                <w:szCs w:val="18"/>
              </w:rPr>
              <w:t>6.5</w:t>
            </w:r>
          </w:p>
        </w:tc>
        <w:tc>
          <w:tcPr>
            <w:tcW w:w="1437" w:type="dxa"/>
            <w:tcBorders>
              <w:top w:val="single" w:sz="4" w:space="0" w:color="auto"/>
              <w:left w:val="single" w:sz="4" w:space="0" w:color="auto"/>
              <w:bottom w:val="single" w:sz="4" w:space="0" w:color="auto"/>
              <w:right w:val="single" w:sz="4" w:space="0" w:color="auto"/>
            </w:tcBorders>
          </w:tcPr>
          <w:p w14:paraId="593E689B" w14:textId="77777777" w:rsidR="00D64765" w:rsidRPr="003460DA" w:rsidRDefault="00D64765" w:rsidP="00F718CE">
            <w:pPr>
              <w:pStyle w:val="FL"/>
              <w:spacing w:before="0" w:after="0"/>
              <w:rPr>
                <w:rFonts w:cs="Arial"/>
                <w:b w:val="0"/>
                <w:bCs/>
                <w:sz w:val="18"/>
                <w:szCs w:val="18"/>
              </w:rPr>
            </w:pPr>
            <w:r w:rsidRPr="003460DA">
              <w:rPr>
                <w:b w:val="0"/>
                <w:bCs/>
                <w:sz w:val="18"/>
                <w:szCs w:val="18"/>
              </w:rPr>
              <w:t xml:space="preserve">≤ </w:t>
            </w:r>
            <w:r>
              <w:rPr>
                <w:b w:val="0"/>
                <w:bCs/>
                <w:sz w:val="18"/>
                <w:szCs w:val="18"/>
              </w:rPr>
              <w:t>6.5</w:t>
            </w:r>
          </w:p>
        </w:tc>
        <w:tc>
          <w:tcPr>
            <w:tcW w:w="1336" w:type="dxa"/>
            <w:tcBorders>
              <w:top w:val="single" w:sz="4" w:space="0" w:color="auto"/>
              <w:left w:val="single" w:sz="4" w:space="0" w:color="auto"/>
              <w:bottom w:val="single" w:sz="4" w:space="0" w:color="auto"/>
              <w:right w:val="single" w:sz="4" w:space="0" w:color="auto"/>
            </w:tcBorders>
          </w:tcPr>
          <w:p w14:paraId="4A3FEF41" w14:textId="77777777" w:rsidR="00D64765" w:rsidRPr="006507CF" w:rsidRDefault="00D64765" w:rsidP="00F718CE">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3" w:type="dxa"/>
            <w:tcBorders>
              <w:top w:val="single" w:sz="4" w:space="0" w:color="auto"/>
              <w:left w:val="single" w:sz="4" w:space="0" w:color="auto"/>
              <w:bottom w:val="single" w:sz="4" w:space="0" w:color="auto"/>
              <w:right w:val="single" w:sz="4" w:space="0" w:color="auto"/>
            </w:tcBorders>
          </w:tcPr>
          <w:p w14:paraId="11CA6E80" w14:textId="77777777" w:rsidR="00D64765" w:rsidRPr="006507CF" w:rsidRDefault="00D64765" w:rsidP="00F718CE">
            <w:pPr>
              <w:pStyle w:val="FL"/>
              <w:spacing w:before="0" w:after="0"/>
              <w:rPr>
                <w:rFonts w:cs="Arial"/>
                <w:b w:val="0"/>
                <w:bCs/>
                <w:sz w:val="18"/>
                <w:szCs w:val="18"/>
              </w:rPr>
            </w:pPr>
          </w:p>
        </w:tc>
      </w:tr>
      <w:tr w:rsidR="00D64765" w:rsidRPr="006507CF" w14:paraId="69B32EC4" w14:textId="77777777" w:rsidTr="00F718CE">
        <w:trPr>
          <w:trHeight w:val="20"/>
          <w:jc w:val="center"/>
        </w:trPr>
        <w:tc>
          <w:tcPr>
            <w:tcW w:w="9631" w:type="dxa"/>
            <w:gridSpan w:val="7"/>
            <w:tcBorders>
              <w:top w:val="single" w:sz="4" w:space="0" w:color="auto"/>
              <w:left w:val="single" w:sz="4" w:space="0" w:color="auto"/>
              <w:bottom w:val="single" w:sz="4" w:space="0" w:color="auto"/>
              <w:right w:val="single" w:sz="4" w:space="0" w:color="auto"/>
            </w:tcBorders>
            <w:hideMark/>
          </w:tcPr>
          <w:p w14:paraId="31C01C0D" w14:textId="77777777" w:rsidR="00D64765" w:rsidRPr="006507CF" w:rsidRDefault="00D64765" w:rsidP="00F718CE">
            <w:pPr>
              <w:pStyle w:val="TAN"/>
              <w:rPr>
                <w:b/>
              </w:rPr>
            </w:pPr>
            <w:r w:rsidRPr="006507CF">
              <w:t>NOTE 1:</w:t>
            </w:r>
            <w:r w:rsidRPr="006507CF">
              <w:tab/>
              <w:t>The MPR shall apply to all SCS in all active 20 MHz sub-bands contiguously allocated in the channel.  The MPR applies to interlaced allocations with uplink resource allocation type 2 as specified in TS 38.214 [10].</w:t>
            </w:r>
          </w:p>
          <w:p w14:paraId="3200DAD1" w14:textId="77777777" w:rsidR="00D64765" w:rsidRPr="006507CF" w:rsidRDefault="00D64765" w:rsidP="00F718CE">
            <w:pPr>
              <w:pStyle w:val="TAN"/>
              <w:rPr>
                <w:b/>
              </w:rPr>
            </w:pPr>
            <w:r w:rsidRPr="006507CF">
              <w:t>NOTE 2:</w:t>
            </w:r>
            <w:r w:rsidRPr="006507CF">
              <w:tab/>
              <w:t>Full RB allocation MPR applies when all RB’s in a 20 MHz channel or all RB’s in all sub-bands for wideband operation are fully allocated and sub-bands are transmitted according to configuration A in Table 6.2F.2-2.</w:t>
            </w:r>
          </w:p>
          <w:p w14:paraId="65D75153" w14:textId="77777777" w:rsidR="00D64765" w:rsidRPr="006507CF" w:rsidRDefault="00D64765" w:rsidP="00F718CE">
            <w:pPr>
              <w:pStyle w:val="TAN"/>
              <w:rPr>
                <w:b/>
              </w:rPr>
            </w:pPr>
            <w:r w:rsidRPr="006507CF">
              <w:t>NOTE 3:</w:t>
            </w:r>
            <w:r w:rsidRPr="006507CF">
              <w:tab/>
              <w:t>Partial RB allocation MPR applies when one or more RB’s in one or more sub-bands are not allocated or when the transmitted sub-bands for wideband operation are transmitted according to configuration B in Table 6.2F.2-2.</w:t>
            </w:r>
          </w:p>
          <w:p w14:paraId="1057CF59" w14:textId="77777777" w:rsidR="00D64765" w:rsidRDefault="00D64765" w:rsidP="00F718CE">
            <w:pPr>
              <w:pStyle w:val="TAN"/>
            </w:pPr>
            <w:r w:rsidRPr="006507CF">
              <w:t>NOTE 4:</w:t>
            </w:r>
            <w:r w:rsidRPr="006507CF">
              <w:tab/>
              <w:t>Applicable to Pi/2-BPSK modulation when IE powerBoostPi2BPSK is set to 0.</w:t>
            </w:r>
          </w:p>
          <w:p w14:paraId="13BA35EB" w14:textId="77777777" w:rsidR="00D64765" w:rsidRPr="006507CF" w:rsidRDefault="00D64765" w:rsidP="00F718CE">
            <w:pPr>
              <w:pStyle w:val="TAN"/>
            </w:pPr>
            <w:r>
              <w:t>NOTE 5:</w:t>
            </w:r>
            <w:r w:rsidRPr="00A1115A">
              <w:tab/>
            </w:r>
            <w:r>
              <w:rPr>
                <w:color w:val="000000"/>
              </w:rPr>
              <w:t>Exception for 100MHz Full RB allocation MPR applies when all RB’s in all sub-bands for 100MHz wideband operation are fully allocated and sub-bands are transmitted according to configuration [B] in Table 6.2F.2-2.</w:t>
            </w:r>
          </w:p>
        </w:tc>
      </w:tr>
    </w:tbl>
    <w:p w14:paraId="182240E6" w14:textId="20A0E8ED" w:rsidR="00D64765" w:rsidRDefault="00D64765" w:rsidP="00350783">
      <w:pPr>
        <w:jc w:val="both"/>
        <w:rPr>
          <w:lang w:eastAsia="ja-JP"/>
        </w:rPr>
      </w:pPr>
    </w:p>
    <w:p w14:paraId="161ED17C" w14:textId="66559775" w:rsidR="0061175B" w:rsidRDefault="00E17C9A" w:rsidP="00350783">
      <w:pPr>
        <w:jc w:val="both"/>
        <w:rPr>
          <w:lang w:eastAsia="ja-JP"/>
        </w:rPr>
      </w:pPr>
      <w:r>
        <w:rPr>
          <w:lang w:eastAsia="ja-JP"/>
        </w:rPr>
        <w:t>For DFT-s-OFDM QPSK (</w:t>
      </w:r>
      <w:r w:rsidR="00041BC3">
        <w:rPr>
          <w:lang w:eastAsia="ja-JP"/>
        </w:rPr>
        <w:t>yellow highlighted cells</w:t>
      </w:r>
      <w:r>
        <w:rPr>
          <w:lang w:eastAsia="ja-JP"/>
        </w:rPr>
        <w:t xml:space="preserve"> - </w:t>
      </w:r>
      <w:r>
        <w:rPr>
          <w:lang w:eastAsia="ja-JP"/>
        </w:rPr>
        <w:fldChar w:fldCharType="begin"/>
      </w:r>
      <w:r>
        <w:rPr>
          <w:lang w:eastAsia="ja-JP"/>
        </w:rPr>
        <w:instrText xml:space="preserve"> REF _Ref127485572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w:t>
      </w:r>
      <w:r w:rsidR="00041BC3">
        <w:rPr>
          <w:lang w:eastAsia="ja-JP"/>
        </w:rPr>
        <w:t xml:space="preserve">, we present preliminary measurement data in </w:t>
      </w:r>
      <w:r w:rsidR="00041BC3">
        <w:rPr>
          <w:lang w:eastAsia="ja-JP"/>
        </w:rPr>
        <w:fldChar w:fldCharType="begin"/>
      </w:r>
      <w:r w:rsidR="00041BC3">
        <w:rPr>
          <w:lang w:eastAsia="ja-JP"/>
        </w:rPr>
        <w:instrText xml:space="preserve"> REF _Ref132020404 \h </w:instrText>
      </w:r>
      <w:r w:rsidR="00041BC3">
        <w:rPr>
          <w:lang w:eastAsia="ja-JP"/>
        </w:rPr>
      </w:r>
      <w:r w:rsidR="00041BC3">
        <w:rPr>
          <w:lang w:eastAsia="ja-JP"/>
        </w:rPr>
        <w:fldChar w:fldCharType="separate"/>
      </w:r>
      <w:r w:rsidR="00041BC3" w:rsidRPr="00E70478">
        <w:rPr>
          <w:b/>
          <w:bCs/>
        </w:rPr>
        <w:t xml:space="preserve">Table </w:t>
      </w:r>
      <w:r w:rsidR="00041BC3">
        <w:rPr>
          <w:b/>
          <w:bCs/>
          <w:noProof/>
        </w:rPr>
        <w:t>2</w:t>
      </w:r>
      <w:r w:rsidR="00041BC3">
        <w:rPr>
          <w:lang w:eastAsia="ja-JP"/>
        </w:rPr>
        <w:fldChar w:fldCharType="end"/>
      </w:r>
      <w:r w:rsidR="00041BC3">
        <w:rPr>
          <w:lang w:eastAsia="ja-JP"/>
        </w:rPr>
        <w:t xml:space="preserve"> for fully allocated waveforms, comparing results for 20MHz CBW vs 100MHz CBW</w:t>
      </w:r>
      <w:r w:rsidR="00681393">
        <w:rPr>
          <w:lang w:eastAsia="ja-JP"/>
        </w:rPr>
        <w:t xml:space="preserve"> with PC5 vs PC3 PA calibration</w:t>
      </w:r>
      <w:r w:rsidR="00041BC3">
        <w:rPr>
          <w:lang w:eastAsia="ja-JP"/>
        </w:rPr>
        <w:t xml:space="preserve">. </w:t>
      </w:r>
      <w:r w:rsidR="00681393">
        <w:rPr>
          <w:lang w:eastAsia="ja-JP"/>
        </w:rPr>
        <w:t>We observe that:</w:t>
      </w:r>
    </w:p>
    <w:p w14:paraId="326A232B" w14:textId="094EE248" w:rsidR="00681393" w:rsidRDefault="00681393" w:rsidP="00681393">
      <w:pPr>
        <w:pStyle w:val="ListParagraph"/>
        <w:numPr>
          <w:ilvl w:val="0"/>
          <w:numId w:val="40"/>
        </w:numPr>
        <w:jc w:val="both"/>
        <w:rPr>
          <w:lang w:eastAsia="ja-JP"/>
        </w:rPr>
      </w:pPr>
      <w:r>
        <w:rPr>
          <w:lang w:eastAsia="ja-JP"/>
        </w:rPr>
        <w:t>for 20MHz CBW, SEM requires approximately 0.1dB higher back-off than ACLR for both PC3 and PC5</w:t>
      </w:r>
    </w:p>
    <w:p w14:paraId="4E3ACD54" w14:textId="34327649" w:rsidR="00681393" w:rsidRDefault="00681393" w:rsidP="00681393">
      <w:pPr>
        <w:pStyle w:val="ListParagraph"/>
        <w:numPr>
          <w:ilvl w:val="0"/>
          <w:numId w:val="40"/>
        </w:numPr>
        <w:jc w:val="both"/>
        <w:rPr>
          <w:lang w:eastAsia="ja-JP"/>
        </w:rPr>
      </w:pPr>
      <w:r>
        <w:rPr>
          <w:lang w:eastAsia="ja-JP"/>
        </w:rPr>
        <w:t xml:space="preserve">for 100MHz CBW, SEM </w:t>
      </w:r>
      <w:r w:rsidR="00E17C9A">
        <w:rPr>
          <w:lang w:eastAsia="ja-JP"/>
        </w:rPr>
        <w:t>requires a [</w:t>
      </w:r>
      <w:proofErr w:type="gramStart"/>
      <w:r w:rsidR="00E17C9A">
        <w:rPr>
          <w:lang w:eastAsia="ja-JP"/>
        </w:rPr>
        <w:t>2.6]dB</w:t>
      </w:r>
      <w:proofErr w:type="gramEnd"/>
      <w:r w:rsidR="00E17C9A">
        <w:rPr>
          <w:lang w:eastAsia="ja-JP"/>
        </w:rPr>
        <w:t xml:space="preserve"> back-off, i.e. nearly 1.1dB higher than the 1dB MPR of [1].</w:t>
      </w:r>
    </w:p>
    <w:p w14:paraId="0EF0AF68" w14:textId="5EAD27F2" w:rsidR="00E17C9A" w:rsidRDefault="00E17C9A" w:rsidP="00E17C9A">
      <w:pPr>
        <w:jc w:val="both"/>
        <w:rPr>
          <w:lang w:eastAsia="ja-JP"/>
        </w:rPr>
      </w:pPr>
      <w:r>
        <w:rPr>
          <w:lang w:eastAsia="ja-JP"/>
        </w:rPr>
        <w:t xml:space="preserve">Due to lack of time, we propose to come back at meeting #107 to further investigate the effect of larger CBW on SEM and ACLR gating. </w:t>
      </w:r>
    </w:p>
    <w:p w14:paraId="400D5262" w14:textId="486A4DE3" w:rsidR="00041BC3" w:rsidRPr="00E70478" w:rsidRDefault="00041BC3" w:rsidP="00041BC3">
      <w:pPr>
        <w:jc w:val="center"/>
        <w:rPr>
          <w:b/>
          <w:bCs/>
          <w:i/>
          <w:iCs/>
          <w:lang w:eastAsia="zh-CN"/>
        </w:rPr>
      </w:pPr>
      <w:bookmarkStart w:id="11" w:name="_Ref132020404"/>
      <w:r w:rsidRPr="00E70478">
        <w:rPr>
          <w:b/>
          <w:bCs/>
        </w:rPr>
        <w:t xml:space="preserve">Table </w:t>
      </w:r>
      <w:r w:rsidRPr="00E70478">
        <w:rPr>
          <w:b/>
          <w:bCs/>
        </w:rPr>
        <w:fldChar w:fldCharType="begin"/>
      </w:r>
      <w:r w:rsidRPr="00E70478">
        <w:rPr>
          <w:b/>
          <w:bCs/>
        </w:rPr>
        <w:instrText xml:space="preserve"> SEQ Table \* ARABIC </w:instrText>
      </w:r>
      <w:r w:rsidRPr="00E70478">
        <w:rPr>
          <w:b/>
          <w:bCs/>
        </w:rPr>
        <w:fldChar w:fldCharType="separate"/>
      </w:r>
      <w:r>
        <w:rPr>
          <w:b/>
          <w:bCs/>
          <w:noProof/>
        </w:rPr>
        <w:t>2</w:t>
      </w:r>
      <w:r w:rsidRPr="00E70478">
        <w:rPr>
          <w:b/>
          <w:bCs/>
        </w:rPr>
        <w:fldChar w:fldCharType="end"/>
      </w:r>
      <w:bookmarkEnd w:id="11"/>
      <w:r>
        <w:rPr>
          <w:b/>
          <w:bCs/>
        </w:rPr>
        <w:t>:</w:t>
      </w:r>
      <w:r w:rsidRPr="00E70478">
        <w:t xml:space="preserve"> </w:t>
      </w:r>
      <w:r>
        <w:t>1Tx PC3 raw PA back-off measurement results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187"/>
        <w:gridCol w:w="1467"/>
        <w:gridCol w:w="1467"/>
        <w:gridCol w:w="1467"/>
        <w:gridCol w:w="707"/>
      </w:tblGrid>
      <w:tr w:rsidR="00681393" w:rsidRPr="00EF5447" w14:paraId="00FDE494" w14:textId="77777777" w:rsidTr="00681393">
        <w:trPr>
          <w:trHeight w:val="187"/>
          <w:jc w:val="center"/>
        </w:trPr>
        <w:tc>
          <w:tcPr>
            <w:tcW w:w="1423" w:type="dxa"/>
          </w:tcPr>
          <w:p w14:paraId="1A2D6BA7" w14:textId="5E3CD582" w:rsidR="00681393" w:rsidRDefault="00681393" w:rsidP="00041BC3">
            <w:pPr>
              <w:pStyle w:val="TAH"/>
              <w:kinsoku w:val="0"/>
              <w:autoSpaceDE w:val="0"/>
            </w:pPr>
            <w:r>
              <w:t>PA calibration power class</w:t>
            </w:r>
          </w:p>
        </w:tc>
        <w:tc>
          <w:tcPr>
            <w:tcW w:w="1187" w:type="dxa"/>
            <w:shd w:val="clear" w:color="auto" w:fill="auto"/>
            <w:vAlign w:val="center"/>
          </w:tcPr>
          <w:p w14:paraId="5A1E4B46" w14:textId="262FFDEE" w:rsidR="00681393" w:rsidRPr="00EF5447" w:rsidRDefault="00681393" w:rsidP="00041BC3">
            <w:pPr>
              <w:pStyle w:val="TAH"/>
              <w:kinsoku w:val="0"/>
              <w:autoSpaceDE w:val="0"/>
            </w:pPr>
            <w:r>
              <w:t>Modulation</w:t>
            </w:r>
          </w:p>
        </w:tc>
        <w:tc>
          <w:tcPr>
            <w:tcW w:w="1467" w:type="dxa"/>
            <w:vAlign w:val="center"/>
          </w:tcPr>
          <w:p w14:paraId="3C35069D" w14:textId="3B795497" w:rsidR="00681393" w:rsidRDefault="00681393" w:rsidP="00041BC3">
            <w:pPr>
              <w:pStyle w:val="TAH"/>
              <w:kinsoku w:val="0"/>
              <w:autoSpaceDE w:val="0"/>
            </w:pPr>
            <w:r>
              <w:t>Waveform</w:t>
            </w:r>
          </w:p>
        </w:tc>
        <w:tc>
          <w:tcPr>
            <w:tcW w:w="1467" w:type="dxa"/>
            <w:vAlign w:val="center"/>
          </w:tcPr>
          <w:p w14:paraId="62B53E90" w14:textId="3EEDDD54" w:rsidR="00681393" w:rsidRDefault="00681393" w:rsidP="00041BC3">
            <w:pPr>
              <w:pStyle w:val="TAH"/>
              <w:kinsoku w:val="0"/>
              <w:autoSpaceDE w:val="0"/>
            </w:pPr>
            <w:r>
              <w:t>Allocation</w:t>
            </w:r>
          </w:p>
        </w:tc>
        <w:tc>
          <w:tcPr>
            <w:tcW w:w="1467" w:type="dxa"/>
            <w:vAlign w:val="center"/>
          </w:tcPr>
          <w:p w14:paraId="2AB32281" w14:textId="5E457426" w:rsidR="00681393" w:rsidRDefault="00681393" w:rsidP="00041BC3">
            <w:pPr>
              <w:pStyle w:val="TAH"/>
              <w:kinsoku w:val="0"/>
              <w:autoSpaceDE w:val="0"/>
            </w:pPr>
            <w:r>
              <w:t>Channel Bandwidth (MHz)</w:t>
            </w:r>
          </w:p>
        </w:tc>
        <w:tc>
          <w:tcPr>
            <w:tcW w:w="707" w:type="dxa"/>
            <w:shd w:val="clear" w:color="auto" w:fill="auto"/>
            <w:vAlign w:val="center"/>
          </w:tcPr>
          <w:p w14:paraId="49463738" w14:textId="77777777" w:rsidR="00681393" w:rsidRDefault="00681393" w:rsidP="00041BC3">
            <w:pPr>
              <w:pStyle w:val="TAH"/>
              <w:kinsoku w:val="0"/>
              <w:autoSpaceDE w:val="0"/>
            </w:pPr>
            <w:r>
              <w:t>SEM</w:t>
            </w:r>
          </w:p>
          <w:p w14:paraId="0E843550" w14:textId="7C778BF8" w:rsidR="00681393" w:rsidRPr="00EF5447" w:rsidRDefault="00681393" w:rsidP="00041BC3">
            <w:pPr>
              <w:pStyle w:val="TAH"/>
              <w:kinsoku w:val="0"/>
              <w:autoSpaceDE w:val="0"/>
            </w:pPr>
            <w:r>
              <w:t>(dB)</w:t>
            </w:r>
          </w:p>
        </w:tc>
      </w:tr>
      <w:tr w:rsidR="00681393" w:rsidRPr="00EF5447" w14:paraId="794B1A48" w14:textId="77777777" w:rsidTr="00681393">
        <w:trPr>
          <w:trHeight w:val="187"/>
          <w:jc w:val="center"/>
        </w:trPr>
        <w:tc>
          <w:tcPr>
            <w:tcW w:w="1423" w:type="dxa"/>
          </w:tcPr>
          <w:p w14:paraId="55A0C735" w14:textId="321B1871" w:rsidR="00681393" w:rsidRDefault="00681393" w:rsidP="00206D47">
            <w:pPr>
              <w:pStyle w:val="TAC"/>
            </w:pPr>
            <w:r>
              <w:t>PC5</w:t>
            </w:r>
          </w:p>
        </w:tc>
        <w:tc>
          <w:tcPr>
            <w:tcW w:w="1187" w:type="dxa"/>
            <w:shd w:val="clear" w:color="auto" w:fill="auto"/>
            <w:vAlign w:val="center"/>
          </w:tcPr>
          <w:p w14:paraId="14072049" w14:textId="36A019D9" w:rsidR="00681393" w:rsidRDefault="00681393" w:rsidP="00206D47">
            <w:pPr>
              <w:pStyle w:val="TAC"/>
            </w:pPr>
            <w:r>
              <w:t>QPSK</w:t>
            </w:r>
          </w:p>
        </w:tc>
        <w:tc>
          <w:tcPr>
            <w:tcW w:w="1467" w:type="dxa"/>
          </w:tcPr>
          <w:p w14:paraId="706E56CD" w14:textId="370C7399" w:rsidR="00681393" w:rsidRDefault="00681393" w:rsidP="00206D47">
            <w:pPr>
              <w:pStyle w:val="TAC"/>
            </w:pPr>
            <w:r>
              <w:t>DFT-s-OFDM</w:t>
            </w:r>
          </w:p>
        </w:tc>
        <w:tc>
          <w:tcPr>
            <w:tcW w:w="1467" w:type="dxa"/>
          </w:tcPr>
          <w:p w14:paraId="5404DED9" w14:textId="73BB7F48" w:rsidR="00681393" w:rsidRDefault="00681393" w:rsidP="00206D47">
            <w:pPr>
              <w:pStyle w:val="TAC"/>
            </w:pPr>
            <w:r>
              <w:t>Full</w:t>
            </w:r>
          </w:p>
        </w:tc>
        <w:tc>
          <w:tcPr>
            <w:tcW w:w="1467" w:type="dxa"/>
          </w:tcPr>
          <w:p w14:paraId="59E605B8" w14:textId="7B0EF107" w:rsidR="00681393" w:rsidRDefault="00681393" w:rsidP="00206D47">
            <w:pPr>
              <w:pStyle w:val="TAC"/>
              <w:rPr>
                <w:rFonts w:cs="Arial"/>
              </w:rPr>
            </w:pPr>
            <w:r>
              <w:rPr>
                <w:rFonts w:cs="Arial"/>
              </w:rPr>
              <w:t>20</w:t>
            </w:r>
          </w:p>
        </w:tc>
        <w:tc>
          <w:tcPr>
            <w:tcW w:w="707" w:type="dxa"/>
            <w:shd w:val="clear" w:color="auto" w:fill="auto"/>
            <w:vAlign w:val="center"/>
          </w:tcPr>
          <w:p w14:paraId="634215CC" w14:textId="19F319B5" w:rsidR="00681393" w:rsidRDefault="00681393" w:rsidP="00206D47">
            <w:pPr>
              <w:pStyle w:val="TAC"/>
              <w:rPr>
                <w:rFonts w:cs="Arial"/>
              </w:rPr>
            </w:pPr>
            <w:r>
              <w:rPr>
                <w:rFonts w:cs="Arial"/>
              </w:rPr>
              <w:t>1.1</w:t>
            </w:r>
          </w:p>
        </w:tc>
      </w:tr>
      <w:tr w:rsidR="00681393" w:rsidRPr="00EF5447" w14:paraId="6D5E9656" w14:textId="77777777" w:rsidTr="00681393">
        <w:trPr>
          <w:trHeight w:val="187"/>
          <w:jc w:val="center"/>
        </w:trPr>
        <w:tc>
          <w:tcPr>
            <w:tcW w:w="1423" w:type="dxa"/>
          </w:tcPr>
          <w:p w14:paraId="73087D7B" w14:textId="643EC1F3" w:rsidR="00681393" w:rsidRDefault="00681393" w:rsidP="005B275D">
            <w:pPr>
              <w:pStyle w:val="TAC"/>
            </w:pPr>
            <w:r>
              <w:t>PC5</w:t>
            </w:r>
          </w:p>
        </w:tc>
        <w:tc>
          <w:tcPr>
            <w:tcW w:w="1187" w:type="dxa"/>
            <w:shd w:val="clear" w:color="auto" w:fill="auto"/>
            <w:vAlign w:val="center"/>
          </w:tcPr>
          <w:p w14:paraId="27C2DF88" w14:textId="56A37725" w:rsidR="00681393" w:rsidRDefault="00681393" w:rsidP="005B275D">
            <w:pPr>
              <w:pStyle w:val="TAC"/>
            </w:pPr>
            <w:r>
              <w:t>QPSK</w:t>
            </w:r>
          </w:p>
        </w:tc>
        <w:tc>
          <w:tcPr>
            <w:tcW w:w="1467" w:type="dxa"/>
          </w:tcPr>
          <w:p w14:paraId="7A062404" w14:textId="581EA78C" w:rsidR="00681393" w:rsidRDefault="00681393" w:rsidP="005B275D">
            <w:pPr>
              <w:pStyle w:val="TAC"/>
            </w:pPr>
            <w:r>
              <w:t>DFT-s-OFDM</w:t>
            </w:r>
          </w:p>
        </w:tc>
        <w:tc>
          <w:tcPr>
            <w:tcW w:w="1467" w:type="dxa"/>
          </w:tcPr>
          <w:p w14:paraId="58A0B5D2" w14:textId="2B0E8F49" w:rsidR="00681393" w:rsidRDefault="00681393" w:rsidP="005B275D">
            <w:pPr>
              <w:pStyle w:val="TAC"/>
            </w:pPr>
            <w:r>
              <w:t>Full</w:t>
            </w:r>
          </w:p>
        </w:tc>
        <w:tc>
          <w:tcPr>
            <w:tcW w:w="1467" w:type="dxa"/>
          </w:tcPr>
          <w:p w14:paraId="286C299C" w14:textId="689BACCC" w:rsidR="00681393" w:rsidRDefault="00681393" w:rsidP="005B275D">
            <w:pPr>
              <w:pStyle w:val="TAC"/>
              <w:rPr>
                <w:rFonts w:cs="Arial"/>
              </w:rPr>
            </w:pPr>
            <w:r>
              <w:rPr>
                <w:rFonts w:cs="Arial"/>
              </w:rPr>
              <w:t>100</w:t>
            </w:r>
          </w:p>
        </w:tc>
        <w:tc>
          <w:tcPr>
            <w:tcW w:w="707" w:type="dxa"/>
            <w:shd w:val="clear" w:color="auto" w:fill="auto"/>
            <w:vAlign w:val="center"/>
          </w:tcPr>
          <w:p w14:paraId="3CDC6013" w14:textId="374100AD" w:rsidR="00681393" w:rsidRDefault="00681393" w:rsidP="005B275D">
            <w:pPr>
              <w:pStyle w:val="TAC"/>
              <w:rPr>
                <w:rFonts w:cs="Arial"/>
              </w:rPr>
            </w:pPr>
            <w:r>
              <w:rPr>
                <w:rFonts w:cs="Arial"/>
              </w:rPr>
              <w:t>1.5</w:t>
            </w:r>
          </w:p>
        </w:tc>
      </w:tr>
      <w:tr w:rsidR="00681393" w:rsidRPr="00EF5447" w14:paraId="301A537A" w14:textId="77777777" w:rsidTr="00681393">
        <w:trPr>
          <w:trHeight w:val="187"/>
          <w:jc w:val="center"/>
        </w:trPr>
        <w:tc>
          <w:tcPr>
            <w:tcW w:w="1423" w:type="dxa"/>
          </w:tcPr>
          <w:p w14:paraId="00971DBE" w14:textId="7F0D4761" w:rsidR="00681393" w:rsidRDefault="00681393" w:rsidP="005B275D">
            <w:pPr>
              <w:pStyle w:val="TAC"/>
            </w:pPr>
            <w:r>
              <w:t>PC3</w:t>
            </w:r>
          </w:p>
        </w:tc>
        <w:tc>
          <w:tcPr>
            <w:tcW w:w="1187" w:type="dxa"/>
            <w:shd w:val="clear" w:color="auto" w:fill="auto"/>
            <w:vAlign w:val="center"/>
          </w:tcPr>
          <w:p w14:paraId="2736C32E" w14:textId="5B87B77D" w:rsidR="00681393" w:rsidRPr="00EF5447" w:rsidRDefault="00681393" w:rsidP="005B275D">
            <w:pPr>
              <w:pStyle w:val="TAC"/>
              <w:rPr>
                <w:lang w:eastAsia="zh-CN"/>
              </w:rPr>
            </w:pPr>
            <w:r>
              <w:t>QPSK</w:t>
            </w:r>
          </w:p>
        </w:tc>
        <w:tc>
          <w:tcPr>
            <w:tcW w:w="1467" w:type="dxa"/>
          </w:tcPr>
          <w:p w14:paraId="3F60AF6E" w14:textId="6D0F4FCB" w:rsidR="00681393" w:rsidRDefault="00681393" w:rsidP="005B275D">
            <w:pPr>
              <w:pStyle w:val="TAC"/>
              <w:rPr>
                <w:rFonts w:cs="Arial"/>
              </w:rPr>
            </w:pPr>
            <w:r>
              <w:t>DFT-s-OFDM</w:t>
            </w:r>
          </w:p>
        </w:tc>
        <w:tc>
          <w:tcPr>
            <w:tcW w:w="1467" w:type="dxa"/>
          </w:tcPr>
          <w:p w14:paraId="2560BDCE" w14:textId="054E8DDB" w:rsidR="00681393" w:rsidRDefault="00681393" w:rsidP="005B275D">
            <w:pPr>
              <w:pStyle w:val="TAC"/>
              <w:rPr>
                <w:rFonts w:cs="Arial"/>
              </w:rPr>
            </w:pPr>
            <w:r>
              <w:t>Full</w:t>
            </w:r>
          </w:p>
        </w:tc>
        <w:tc>
          <w:tcPr>
            <w:tcW w:w="1467" w:type="dxa"/>
          </w:tcPr>
          <w:p w14:paraId="5C7E4BD6" w14:textId="45AC34EE" w:rsidR="00681393" w:rsidRDefault="00681393" w:rsidP="005B275D">
            <w:pPr>
              <w:pStyle w:val="TAC"/>
              <w:rPr>
                <w:rFonts w:cs="Arial"/>
              </w:rPr>
            </w:pPr>
            <w:r>
              <w:rPr>
                <w:rFonts w:cs="Arial"/>
              </w:rPr>
              <w:t>20</w:t>
            </w:r>
          </w:p>
        </w:tc>
        <w:tc>
          <w:tcPr>
            <w:tcW w:w="707" w:type="dxa"/>
            <w:shd w:val="clear" w:color="auto" w:fill="auto"/>
            <w:vAlign w:val="center"/>
          </w:tcPr>
          <w:p w14:paraId="403799F6" w14:textId="363CB0DA" w:rsidR="00681393" w:rsidRPr="00EF5447" w:rsidRDefault="00681393" w:rsidP="005B275D">
            <w:pPr>
              <w:pStyle w:val="TAC"/>
              <w:rPr>
                <w:lang w:eastAsia="zh-CN"/>
              </w:rPr>
            </w:pPr>
            <w:r>
              <w:rPr>
                <w:rFonts w:cs="Arial"/>
              </w:rPr>
              <w:t>0.1</w:t>
            </w:r>
          </w:p>
        </w:tc>
      </w:tr>
      <w:tr w:rsidR="00681393" w:rsidRPr="00EF5447" w14:paraId="6C651614" w14:textId="77777777" w:rsidTr="00681393">
        <w:trPr>
          <w:trHeight w:val="187"/>
          <w:jc w:val="center"/>
        </w:trPr>
        <w:tc>
          <w:tcPr>
            <w:tcW w:w="1423" w:type="dxa"/>
          </w:tcPr>
          <w:p w14:paraId="3CB20372" w14:textId="71595777" w:rsidR="00681393" w:rsidRDefault="00681393" w:rsidP="005B275D">
            <w:pPr>
              <w:pStyle w:val="TAC"/>
            </w:pPr>
            <w:r>
              <w:t>PC3</w:t>
            </w:r>
          </w:p>
        </w:tc>
        <w:tc>
          <w:tcPr>
            <w:tcW w:w="1187" w:type="dxa"/>
            <w:shd w:val="clear" w:color="auto" w:fill="auto"/>
            <w:vAlign w:val="center"/>
          </w:tcPr>
          <w:p w14:paraId="656D4E45" w14:textId="405CA1A5" w:rsidR="00681393" w:rsidRDefault="00681393" w:rsidP="005B275D">
            <w:pPr>
              <w:pStyle w:val="TAC"/>
            </w:pPr>
            <w:r>
              <w:t>QPSK</w:t>
            </w:r>
          </w:p>
        </w:tc>
        <w:tc>
          <w:tcPr>
            <w:tcW w:w="1467" w:type="dxa"/>
          </w:tcPr>
          <w:p w14:paraId="2D608748" w14:textId="438DEDE7" w:rsidR="00681393" w:rsidRDefault="00681393" w:rsidP="005B275D">
            <w:pPr>
              <w:pStyle w:val="TAC"/>
            </w:pPr>
            <w:r>
              <w:t>DFT-s-OFDM</w:t>
            </w:r>
          </w:p>
        </w:tc>
        <w:tc>
          <w:tcPr>
            <w:tcW w:w="1467" w:type="dxa"/>
          </w:tcPr>
          <w:p w14:paraId="6B32A34E" w14:textId="36EC8BF6" w:rsidR="00681393" w:rsidRDefault="00681393" w:rsidP="005B275D">
            <w:pPr>
              <w:pStyle w:val="TAC"/>
            </w:pPr>
            <w:r>
              <w:t>Full</w:t>
            </w:r>
          </w:p>
        </w:tc>
        <w:tc>
          <w:tcPr>
            <w:tcW w:w="1467" w:type="dxa"/>
          </w:tcPr>
          <w:p w14:paraId="10AFD27D" w14:textId="4D30EB3E" w:rsidR="00681393" w:rsidRDefault="00681393" w:rsidP="005B275D">
            <w:pPr>
              <w:pStyle w:val="TAC"/>
              <w:rPr>
                <w:rFonts w:cs="Arial"/>
              </w:rPr>
            </w:pPr>
            <w:r>
              <w:rPr>
                <w:rFonts w:cs="Arial"/>
              </w:rPr>
              <w:t>100</w:t>
            </w:r>
          </w:p>
        </w:tc>
        <w:tc>
          <w:tcPr>
            <w:tcW w:w="707" w:type="dxa"/>
            <w:shd w:val="clear" w:color="auto" w:fill="auto"/>
            <w:vAlign w:val="center"/>
          </w:tcPr>
          <w:p w14:paraId="23075C1A" w14:textId="03EFD54C" w:rsidR="00681393" w:rsidRDefault="00681393" w:rsidP="005B275D">
            <w:pPr>
              <w:pStyle w:val="TAC"/>
              <w:rPr>
                <w:rFonts w:cs="Arial"/>
              </w:rPr>
            </w:pPr>
            <w:r>
              <w:rPr>
                <w:rFonts w:cs="Arial"/>
              </w:rPr>
              <w:t>[2.6]</w:t>
            </w:r>
          </w:p>
        </w:tc>
      </w:tr>
    </w:tbl>
    <w:p w14:paraId="60507C66" w14:textId="77777777" w:rsidR="00E17C9A" w:rsidRDefault="00E17C9A" w:rsidP="00E17C9A">
      <w:pPr>
        <w:jc w:val="both"/>
        <w:rPr>
          <w:b/>
          <w:bCs/>
          <w:lang w:eastAsia="ja-JP"/>
        </w:rPr>
      </w:pPr>
    </w:p>
    <w:p w14:paraId="54AE5C07" w14:textId="27265737" w:rsidR="00041BC3" w:rsidRDefault="00E17C9A" w:rsidP="00350783">
      <w:pPr>
        <w:jc w:val="both"/>
        <w:rPr>
          <w:lang w:eastAsia="ja-JP"/>
        </w:rPr>
      </w:pPr>
      <w:r w:rsidRPr="00D64765">
        <w:rPr>
          <w:b/>
          <w:bCs/>
          <w:lang w:eastAsia="ja-JP"/>
        </w:rPr>
        <w:t xml:space="preserve">Observation </w:t>
      </w:r>
      <w:r>
        <w:rPr>
          <w:b/>
          <w:bCs/>
          <w:lang w:eastAsia="ja-JP"/>
        </w:rPr>
        <w:t>2</w:t>
      </w:r>
      <w:r w:rsidRPr="00D64765">
        <w:rPr>
          <w:b/>
          <w:bCs/>
          <w:lang w:eastAsia="ja-JP"/>
        </w:rPr>
        <w:t xml:space="preserve">: </w:t>
      </w:r>
      <w:r>
        <w:rPr>
          <w:b/>
          <w:bCs/>
          <w:lang w:eastAsia="ja-JP"/>
        </w:rPr>
        <w:t xml:space="preserve">For 1Tx PC3, we observe </w:t>
      </w:r>
      <w:r w:rsidR="00BD148C">
        <w:rPr>
          <w:b/>
          <w:bCs/>
          <w:lang w:eastAsia="ja-JP"/>
        </w:rPr>
        <w:t xml:space="preserve">that SEM requires a higher back-off </w:t>
      </w:r>
      <w:r>
        <w:rPr>
          <w:b/>
          <w:bCs/>
          <w:lang w:eastAsia="ja-JP"/>
        </w:rPr>
        <w:t xml:space="preserve">at 100MHz than at 20MHz CBW. More measurements are required to study the effect of large CBW on SEM gating for 1Tx NR-U PC3 operation. Measurements are also needed to verify the </w:t>
      </w:r>
      <w:r w:rsidR="00BD2AF9">
        <w:rPr>
          <w:b/>
          <w:bCs/>
          <w:lang w:eastAsia="ja-JP"/>
        </w:rPr>
        <w:t>2Tx PC5+PC5</w:t>
      </w:r>
      <w:r>
        <w:rPr>
          <w:b/>
          <w:bCs/>
          <w:lang w:eastAsia="ja-JP"/>
        </w:rPr>
        <w:t xml:space="preserve"> MPR results.</w:t>
      </w:r>
    </w:p>
    <w:p w14:paraId="58149A3F" w14:textId="57C335F8" w:rsidR="0061175B" w:rsidRDefault="00E17C9A" w:rsidP="00350783">
      <w:pPr>
        <w:jc w:val="both"/>
        <w:rPr>
          <w:lang w:eastAsia="ja-JP"/>
        </w:rPr>
      </w:pPr>
      <w:r>
        <w:rPr>
          <w:lang w:eastAsia="ja-JP"/>
        </w:rPr>
        <w:t xml:space="preserve">For DFT-s-OFDM 64QAM (yellow highlighted cells - </w:t>
      </w:r>
      <w:r>
        <w:rPr>
          <w:lang w:eastAsia="ja-JP"/>
        </w:rPr>
        <w:fldChar w:fldCharType="begin"/>
      </w:r>
      <w:r>
        <w:rPr>
          <w:lang w:eastAsia="ja-JP"/>
        </w:rPr>
        <w:instrText xml:space="preserve"> REF _Ref127485572 \h </w:instrText>
      </w:r>
      <w:r>
        <w:rPr>
          <w:lang w:eastAsia="ja-JP"/>
        </w:rPr>
      </w:r>
      <w:r>
        <w:rPr>
          <w:lang w:eastAsia="ja-JP"/>
        </w:rPr>
        <w:fldChar w:fldCharType="separate"/>
      </w:r>
      <w:r>
        <w:t xml:space="preserve">Table </w:t>
      </w:r>
      <w:r>
        <w:rPr>
          <w:noProof/>
        </w:rPr>
        <w:t>1</w:t>
      </w:r>
      <w:r>
        <w:rPr>
          <w:lang w:eastAsia="ja-JP"/>
        </w:rPr>
        <w:fldChar w:fldCharType="end"/>
      </w:r>
      <w:r>
        <w:rPr>
          <w:lang w:eastAsia="ja-JP"/>
        </w:rPr>
        <w:t>), we observe that the NR-U PC3 [1] is systematically 0.5dB lower than the NR-U PC5 MPR for all waveforms except for 64QAM where the PC5 MPR is 1.5dB higher than the PC3 MPR.</w:t>
      </w:r>
    </w:p>
    <w:p w14:paraId="46126284" w14:textId="706A80EA" w:rsidR="00E17C9A" w:rsidRDefault="00E17C9A" w:rsidP="00E17C9A">
      <w:pPr>
        <w:jc w:val="both"/>
        <w:rPr>
          <w:b/>
          <w:bCs/>
          <w:lang w:eastAsia="ja-JP"/>
        </w:rPr>
      </w:pPr>
      <w:r w:rsidRPr="00D64765">
        <w:rPr>
          <w:b/>
          <w:bCs/>
          <w:lang w:eastAsia="ja-JP"/>
        </w:rPr>
        <w:t xml:space="preserve">Observation </w:t>
      </w:r>
      <w:r>
        <w:rPr>
          <w:b/>
          <w:bCs/>
          <w:lang w:eastAsia="ja-JP"/>
        </w:rPr>
        <w:t>3</w:t>
      </w:r>
      <w:r w:rsidRPr="00D64765">
        <w:rPr>
          <w:b/>
          <w:bCs/>
          <w:lang w:eastAsia="ja-JP"/>
        </w:rPr>
        <w:t xml:space="preserve">: </w:t>
      </w:r>
      <w:r>
        <w:rPr>
          <w:b/>
          <w:bCs/>
          <w:lang w:eastAsia="ja-JP"/>
        </w:rPr>
        <w:t>For DFT-s-OFDM fully allocated waveforms, the 1Tx NR-U PC3 MPR is systematically 0.5dB lower than the PC5 1Tx MPR except for 64QAM where a 1.5dB difference is observed. Measurements are needed to verify the</w:t>
      </w:r>
      <w:r w:rsidR="00BD148C">
        <w:rPr>
          <w:b/>
          <w:bCs/>
          <w:lang w:eastAsia="ja-JP"/>
        </w:rPr>
        <w:t xml:space="preserve"> both 1Tx PC3 and </w:t>
      </w:r>
      <w:r>
        <w:rPr>
          <w:b/>
          <w:bCs/>
          <w:lang w:eastAsia="ja-JP"/>
        </w:rPr>
        <w:t>1Tx PC5 MPR for fully allocated DFT-s-OFDM 64QAM waveforms.</w:t>
      </w:r>
    </w:p>
    <w:p w14:paraId="46C58FE8" w14:textId="5F0D91C7" w:rsidR="00E17C9A" w:rsidRDefault="00E17C9A" w:rsidP="00E17C9A">
      <w:pPr>
        <w:jc w:val="both"/>
        <w:rPr>
          <w:lang w:eastAsia="ja-JP"/>
        </w:rPr>
      </w:pPr>
      <w:r>
        <w:rPr>
          <w:lang w:eastAsia="ja-JP"/>
        </w:rPr>
        <w:t xml:space="preserve">Finally, for CP-OFDM </w:t>
      </w:r>
      <w:r w:rsidR="00523FB4">
        <w:rPr>
          <w:lang w:eastAsia="ja-JP"/>
        </w:rPr>
        <w:t xml:space="preserve">QPSK and 16QAM (blue highlighted cells - </w:t>
      </w:r>
      <w:r w:rsidR="00523FB4">
        <w:rPr>
          <w:lang w:eastAsia="ja-JP"/>
        </w:rPr>
        <w:fldChar w:fldCharType="begin"/>
      </w:r>
      <w:r w:rsidR="00523FB4">
        <w:rPr>
          <w:lang w:eastAsia="ja-JP"/>
        </w:rPr>
        <w:instrText xml:space="preserve"> REF _Ref127485572 \h </w:instrText>
      </w:r>
      <w:r w:rsidR="00523FB4">
        <w:rPr>
          <w:lang w:eastAsia="ja-JP"/>
        </w:rPr>
      </w:r>
      <w:r w:rsidR="00523FB4">
        <w:rPr>
          <w:lang w:eastAsia="ja-JP"/>
        </w:rPr>
        <w:fldChar w:fldCharType="separate"/>
      </w:r>
      <w:r w:rsidR="00523FB4">
        <w:t xml:space="preserve">Table </w:t>
      </w:r>
      <w:r w:rsidR="00523FB4">
        <w:rPr>
          <w:noProof/>
        </w:rPr>
        <w:t>1</w:t>
      </w:r>
      <w:r w:rsidR="00523FB4">
        <w:rPr>
          <w:lang w:eastAsia="ja-JP"/>
        </w:rPr>
        <w:fldChar w:fldCharType="end"/>
      </w:r>
      <w:r w:rsidR="00523FB4">
        <w:rPr>
          <w:lang w:eastAsia="ja-JP"/>
        </w:rPr>
        <w:t>), exception MPR was agreed for 1Tx PC5, but these exceptions were not discussed for 1Tx PC3. Additional measurements are required to further verify if exceptions are also needed for 1Tx PC3 and for 2Tx PC5.</w:t>
      </w:r>
    </w:p>
    <w:p w14:paraId="2C19634F" w14:textId="27C865E3" w:rsidR="00523FB4" w:rsidRDefault="00523FB4" w:rsidP="00523FB4">
      <w:pPr>
        <w:jc w:val="both"/>
        <w:rPr>
          <w:b/>
          <w:bCs/>
          <w:lang w:eastAsia="ja-JP"/>
        </w:rPr>
      </w:pPr>
      <w:r w:rsidRPr="00D64765">
        <w:rPr>
          <w:b/>
          <w:bCs/>
          <w:lang w:eastAsia="ja-JP"/>
        </w:rPr>
        <w:lastRenderedPageBreak/>
        <w:t xml:space="preserve">Observation </w:t>
      </w:r>
      <w:r>
        <w:rPr>
          <w:b/>
          <w:bCs/>
          <w:lang w:eastAsia="ja-JP"/>
        </w:rPr>
        <w:t>4</w:t>
      </w:r>
      <w:r w:rsidRPr="00D64765">
        <w:rPr>
          <w:b/>
          <w:bCs/>
          <w:lang w:eastAsia="ja-JP"/>
        </w:rPr>
        <w:t xml:space="preserve">: </w:t>
      </w:r>
      <w:r>
        <w:rPr>
          <w:b/>
          <w:bCs/>
          <w:lang w:eastAsia="ja-JP"/>
        </w:rPr>
        <w:t xml:space="preserve">For CP-OFDM QPSK and 16QAM, additional measurements are needed to verify if the 1Tx PC5 MPR exceptions at 100MHz CBW are also needed for 1Tx PC3. In any case, these configurations should be carefully studied for </w:t>
      </w:r>
      <w:r w:rsidR="00BD2AF9">
        <w:rPr>
          <w:b/>
          <w:bCs/>
          <w:lang w:eastAsia="ja-JP"/>
        </w:rPr>
        <w:t>2Tx PC5+PC5.</w:t>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654BC0F7" w14:textId="50FFE216" w:rsidR="001B0C33" w:rsidRDefault="007F54FB" w:rsidP="00544CE8">
      <w:pPr>
        <w:spacing w:after="120"/>
        <w:jc w:val="both"/>
      </w:pPr>
      <w:r>
        <w:t>This contribution</w:t>
      </w:r>
      <w:r w:rsidR="00064BDC">
        <w:t xml:space="preserve"> </w:t>
      </w:r>
      <w:r w:rsidR="00BD148C">
        <w:t xml:space="preserve">brings preliminary measurement data for 1Tx PC3. </w:t>
      </w:r>
      <w:r w:rsidR="001B0C33">
        <w:t>We observe that the better PA linearity of 1Tx PC3 for NR-U should produce lower MPR levels for PC3 than for 1Tx PC5.</w:t>
      </w:r>
    </w:p>
    <w:p w14:paraId="79BA3879" w14:textId="77777777" w:rsidR="001B0C33" w:rsidRDefault="001B0C33" w:rsidP="001B0C33">
      <w:pPr>
        <w:jc w:val="both"/>
        <w:rPr>
          <w:b/>
          <w:bCs/>
          <w:lang w:eastAsia="ja-JP"/>
        </w:rPr>
      </w:pPr>
      <w:r w:rsidRPr="00D64765">
        <w:rPr>
          <w:b/>
          <w:bCs/>
          <w:lang w:eastAsia="ja-JP"/>
        </w:rPr>
        <w:t xml:space="preserve">Observation 1: </w:t>
      </w:r>
      <w:r>
        <w:rPr>
          <w:b/>
          <w:bCs/>
          <w:lang w:eastAsia="ja-JP"/>
        </w:rPr>
        <w:t>Both NR and NR-U PA linearity is calibrated using the same reference waveform and the same ACLR gating of -30dBc at 1dB MPR. For NR-U, it is often found that SEM gates at ~0.1 to 0.2dB lower output power than ACLR-30dBc. I</w:t>
      </w:r>
      <w:r w:rsidRPr="00D64765">
        <w:rPr>
          <w:b/>
          <w:bCs/>
          <w:lang w:eastAsia="ja-JP"/>
        </w:rPr>
        <w:t>t can be assumed that the 1Tx NR-U PC3 PA linearity calibration is</w:t>
      </w:r>
      <w:r>
        <w:rPr>
          <w:b/>
          <w:bCs/>
          <w:lang w:eastAsia="ja-JP"/>
        </w:rPr>
        <w:t xml:space="preserve"> nearly</w:t>
      </w:r>
      <w:r w:rsidRPr="00D64765">
        <w:rPr>
          <w:b/>
          <w:bCs/>
          <w:lang w:eastAsia="ja-JP"/>
        </w:rPr>
        <w:t xml:space="preserve"> identical to the NR 1Tx PC3 PA calibration. </w:t>
      </w:r>
      <w:r>
        <w:rPr>
          <w:b/>
          <w:bCs/>
          <w:lang w:eastAsia="ja-JP"/>
        </w:rPr>
        <w:t>The better PC3 PA linearity should lead to lower 1Tx PC3 MPR than the 1Tx PC5 MPR.</w:t>
      </w:r>
    </w:p>
    <w:p w14:paraId="5E8240E8" w14:textId="78157EA7" w:rsidR="00565FD0" w:rsidRDefault="00BD148C" w:rsidP="00544CE8">
      <w:pPr>
        <w:spacing w:after="120"/>
        <w:jc w:val="both"/>
      </w:pPr>
      <w:r>
        <w:t>Due to lack of time</w:t>
      </w:r>
      <w:r w:rsidR="001B0C33">
        <w:t>,</w:t>
      </w:r>
      <w:r>
        <w:t xml:space="preserve"> we are unable to present a complete set of measurements</w:t>
      </w:r>
      <w:r w:rsidR="00064BDC">
        <w:t>.</w:t>
      </w:r>
      <w:r>
        <w:t xml:space="preserve"> We propose to present both 1Tx PC3 and 2Tx PC5+PC5 at next meeting to verify the following observations:</w:t>
      </w:r>
    </w:p>
    <w:p w14:paraId="6C2A51C2" w14:textId="4A9D2964" w:rsidR="00BD2AF9" w:rsidRDefault="00BD2AF9" w:rsidP="00BD2AF9">
      <w:pPr>
        <w:jc w:val="both"/>
        <w:rPr>
          <w:lang w:eastAsia="ja-JP"/>
        </w:rPr>
      </w:pPr>
      <w:r w:rsidRPr="00D64765">
        <w:rPr>
          <w:b/>
          <w:bCs/>
          <w:lang w:eastAsia="ja-JP"/>
        </w:rPr>
        <w:t xml:space="preserve">Observation </w:t>
      </w:r>
      <w:r>
        <w:rPr>
          <w:b/>
          <w:bCs/>
          <w:lang w:eastAsia="ja-JP"/>
        </w:rPr>
        <w:t>2</w:t>
      </w:r>
      <w:r w:rsidRPr="00D64765">
        <w:rPr>
          <w:b/>
          <w:bCs/>
          <w:lang w:eastAsia="ja-JP"/>
        </w:rPr>
        <w:t xml:space="preserve">: </w:t>
      </w:r>
      <w:r>
        <w:rPr>
          <w:b/>
          <w:bCs/>
          <w:lang w:eastAsia="ja-JP"/>
        </w:rPr>
        <w:t>For 1Tx PC3, we observe that SEM requires a higher back-off at 100MHz than at 20MHz CBW. More measurements are required to study the effect of large CBW on SEM gating for 1Tx NR-U PC3 operation. Measurements are also needed to verify the 2Tx PC5+PC5 MPR results.</w:t>
      </w:r>
    </w:p>
    <w:p w14:paraId="5230673C" w14:textId="4E43FB03" w:rsidR="00BD2AF9" w:rsidRDefault="00BD2AF9" w:rsidP="00BD2AF9">
      <w:pPr>
        <w:jc w:val="both"/>
        <w:rPr>
          <w:b/>
          <w:bCs/>
          <w:lang w:eastAsia="ja-JP"/>
        </w:rPr>
      </w:pPr>
      <w:r w:rsidRPr="00D64765">
        <w:rPr>
          <w:b/>
          <w:bCs/>
          <w:lang w:eastAsia="ja-JP"/>
        </w:rPr>
        <w:t xml:space="preserve">Observation </w:t>
      </w:r>
      <w:r>
        <w:rPr>
          <w:b/>
          <w:bCs/>
          <w:lang w:eastAsia="ja-JP"/>
        </w:rPr>
        <w:t>3</w:t>
      </w:r>
      <w:r w:rsidRPr="00D64765">
        <w:rPr>
          <w:b/>
          <w:bCs/>
          <w:lang w:eastAsia="ja-JP"/>
        </w:rPr>
        <w:t xml:space="preserve">: </w:t>
      </w:r>
      <w:r>
        <w:rPr>
          <w:b/>
          <w:bCs/>
          <w:lang w:eastAsia="ja-JP"/>
        </w:rPr>
        <w:t>For DFT-s-OFDM fully allocated waveforms, the 1Tx NR-U PC3 MPR is systematically 0.5dB lower than the PC5 1Tx MPR except for 64QAM where a 1.5dB difference is observed. Measurements are needed to verify the both 1Tx PC3 and 1Tx PC5 MPR for fully allocated DFT-s-OFDM 64QAM waveforms.</w:t>
      </w:r>
    </w:p>
    <w:p w14:paraId="4FA23B03" w14:textId="6EF97E32" w:rsidR="00BD2AF9" w:rsidRDefault="00BD2AF9" w:rsidP="00BD2AF9">
      <w:pPr>
        <w:jc w:val="both"/>
        <w:rPr>
          <w:b/>
          <w:bCs/>
          <w:lang w:eastAsia="ja-JP"/>
        </w:rPr>
      </w:pPr>
      <w:r w:rsidRPr="00D64765">
        <w:rPr>
          <w:b/>
          <w:bCs/>
          <w:lang w:eastAsia="ja-JP"/>
        </w:rPr>
        <w:t xml:space="preserve">Observation </w:t>
      </w:r>
      <w:r>
        <w:rPr>
          <w:b/>
          <w:bCs/>
          <w:lang w:eastAsia="ja-JP"/>
        </w:rPr>
        <w:t>4</w:t>
      </w:r>
      <w:r w:rsidRPr="00D64765">
        <w:rPr>
          <w:b/>
          <w:bCs/>
          <w:lang w:eastAsia="ja-JP"/>
        </w:rPr>
        <w:t xml:space="preserve">: </w:t>
      </w:r>
      <w:r>
        <w:rPr>
          <w:b/>
          <w:bCs/>
          <w:lang w:eastAsia="ja-JP"/>
        </w:rPr>
        <w:t>For CP-OFDM QPSK and 16QAM, additional measurements are needed to verify if the 1Tx PC5 MPR exceptions at 100MHz CBW are also needed for 1Tx PC3. In any case, these configurations should be carefully studied for 2Tx PC5+PC5.</w:t>
      </w:r>
    </w:p>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7CF13231" w14:textId="77777777" w:rsidR="000E0938" w:rsidRDefault="00AA125B" w:rsidP="000E0938">
      <w:pPr>
        <w:spacing w:after="120"/>
        <w:ind w:left="564" w:hanging="564"/>
        <w:rPr>
          <w:lang w:val="pt-BR" w:eastAsia="ja-JP"/>
        </w:rPr>
      </w:pPr>
      <w:r w:rsidRPr="006F0FF1">
        <w:rPr>
          <w:rFonts w:hint="eastAsia"/>
          <w:lang w:val="pt-BR" w:eastAsia="ja-JP"/>
        </w:rPr>
        <w:t>[1]</w:t>
      </w:r>
      <w:r w:rsidRPr="006F0FF1">
        <w:rPr>
          <w:lang w:val="pt-BR" w:eastAsia="ja-JP"/>
        </w:rPr>
        <w:tab/>
      </w:r>
      <w:r w:rsidR="007B6346" w:rsidRPr="007B6346">
        <w:rPr>
          <w:lang w:val="pt-BR" w:eastAsia="ja-JP"/>
        </w:rPr>
        <w:t>R4-2300937</w:t>
      </w:r>
      <w:r w:rsidR="003955D8">
        <w:rPr>
          <w:lang w:val="pt-BR" w:eastAsia="ja-JP"/>
        </w:rPr>
        <w:t xml:space="preserve"> </w:t>
      </w:r>
      <w:r w:rsidR="007B6346" w:rsidRPr="007B6346">
        <w:rPr>
          <w:lang w:val="pt-BR" w:eastAsia="ja-JP"/>
        </w:rPr>
        <w:t>Cross-band isolation MSD test point simplification for EN-DC</w:t>
      </w:r>
      <w:r w:rsidRPr="00187497">
        <w:rPr>
          <w:lang w:val="pt-BR" w:eastAsia="ja-JP"/>
        </w:rPr>
        <w:t xml:space="preserve">, </w:t>
      </w:r>
      <w:r w:rsidR="003955D8" w:rsidRPr="00997273">
        <w:rPr>
          <w:lang w:val="pt-BR" w:eastAsia="ja-JP"/>
        </w:rPr>
        <w:t xml:space="preserve">3GPP TSG-RAN WG4 Meeting # </w:t>
      </w:r>
      <w:r w:rsidR="003955D8">
        <w:rPr>
          <w:lang w:val="pt-BR" w:eastAsia="ja-JP"/>
        </w:rPr>
        <w:t>106</w:t>
      </w:r>
      <w:r w:rsidR="003955D8" w:rsidRPr="00997273">
        <w:rPr>
          <w:lang w:val="pt-BR" w:eastAsia="ja-JP"/>
        </w:rPr>
        <w:t xml:space="preserve"> </w:t>
      </w:r>
      <w:r w:rsidR="003955D8">
        <w:rPr>
          <w:lang w:val="pt-BR" w:eastAsia="ja-JP"/>
        </w:rPr>
        <w:t>, Athens</w:t>
      </w:r>
      <w:r w:rsidR="003955D8" w:rsidRPr="00C52C8E">
        <w:rPr>
          <w:lang w:val="pt-BR" w:eastAsia="ja-JP"/>
        </w:rPr>
        <w:t xml:space="preserve">, </w:t>
      </w:r>
      <w:r w:rsidR="003955D8">
        <w:rPr>
          <w:lang w:val="pt-BR" w:eastAsia="ja-JP"/>
        </w:rPr>
        <w:t>Greece</w:t>
      </w:r>
      <w:r w:rsidR="003955D8" w:rsidRPr="00C52C8E">
        <w:rPr>
          <w:lang w:val="pt-BR" w:eastAsia="ja-JP"/>
        </w:rPr>
        <w:t>,</w:t>
      </w:r>
      <w:r w:rsidR="003955D8">
        <w:rPr>
          <w:lang w:val="pt-BR" w:eastAsia="ja-JP"/>
        </w:rPr>
        <w:t xml:space="preserve"> </w:t>
      </w:r>
      <w:r w:rsidR="007B6346" w:rsidRPr="007B6346">
        <w:rPr>
          <w:lang w:val="pt-BR" w:eastAsia="ja-JP"/>
        </w:rPr>
        <w:t>Skyworks Solutions, Inc.</w:t>
      </w:r>
    </w:p>
    <w:p w14:paraId="2250E445" w14:textId="14A0EEAD" w:rsidR="000E0938" w:rsidRPr="000E0938" w:rsidRDefault="007605A5" w:rsidP="000E0938">
      <w:pPr>
        <w:spacing w:after="120"/>
        <w:ind w:left="564" w:hanging="564"/>
        <w:rPr>
          <w:lang w:val="pt-BR" w:eastAsia="ja-JP"/>
        </w:rPr>
      </w:pPr>
      <w:r>
        <w:rPr>
          <w:lang w:val="pt-BR" w:eastAsia="ja-JP"/>
        </w:rPr>
        <w:t>[2]</w:t>
      </w:r>
      <w:r>
        <w:rPr>
          <w:lang w:val="pt-BR" w:eastAsia="ja-JP"/>
        </w:rPr>
        <w:tab/>
      </w:r>
      <w:r w:rsidR="000E0938" w:rsidRPr="00A94467">
        <w:t>R4-2214437</w:t>
      </w:r>
      <w:r w:rsidR="000E0938">
        <w:t>, “</w:t>
      </w:r>
      <w:r w:rsidR="000E0938" w:rsidRPr="00A94467">
        <w:t>WF on NR-U PC3 requirements</w:t>
      </w:r>
      <w:r w:rsidR="000E0938">
        <w:t xml:space="preserve">”, </w:t>
      </w:r>
      <w:r w:rsidR="000E0938" w:rsidRPr="00A94467">
        <w:t>Charter Communications, Inc.</w:t>
      </w:r>
    </w:p>
    <w:sectPr w:rsidR="000E0938" w:rsidRPr="000E0938"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CC947" w14:textId="77777777" w:rsidR="00A80382" w:rsidRDefault="00A80382">
      <w:r>
        <w:separator/>
      </w:r>
    </w:p>
  </w:endnote>
  <w:endnote w:type="continuationSeparator" w:id="0">
    <w:p w14:paraId="1936DB52" w14:textId="77777777" w:rsidR="00A80382" w:rsidRDefault="00A8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35545" w:rsidRDefault="00D355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F0AB9" w14:textId="77777777" w:rsidR="00A80382" w:rsidRDefault="00A80382">
      <w:r>
        <w:separator/>
      </w:r>
    </w:p>
  </w:footnote>
  <w:footnote w:type="continuationSeparator" w:id="0">
    <w:p w14:paraId="797B0666" w14:textId="77777777" w:rsidR="00A80382" w:rsidRDefault="00A80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2F39D2"/>
    <w:multiLevelType w:val="hybridMultilevel"/>
    <w:tmpl w:val="C26087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AF5A37"/>
    <w:multiLevelType w:val="hybridMultilevel"/>
    <w:tmpl w:val="5FE694F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1369F"/>
    <w:multiLevelType w:val="hybridMultilevel"/>
    <w:tmpl w:val="573AD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12430C"/>
    <w:multiLevelType w:val="hybridMultilevel"/>
    <w:tmpl w:val="9BB856D8"/>
    <w:lvl w:ilvl="0" w:tplc="C36CA4AA">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73815"/>
    <w:multiLevelType w:val="hybridMultilevel"/>
    <w:tmpl w:val="840AD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C6446F"/>
    <w:multiLevelType w:val="hybridMultilevel"/>
    <w:tmpl w:val="4EE0697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30556"/>
    <w:multiLevelType w:val="hybridMultilevel"/>
    <w:tmpl w:val="AFA011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30166"/>
    <w:multiLevelType w:val="hybridMultilevel"/>
    <w:tmpl w:val="0A5EF9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992394F"/>
    <w:multiLevelType w:val="hybridMultilevel"/>
    <w:tmpl w:val="9530C032"/>
    <w:lvl w:ilvl="0" w:tplc="6788486E">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473951"/>
    <w:multiLevelType w:val="hybridMultilevel"/>
    <w:tmpl w:val="3E7C82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FC67A4F"/>
    <w:multiLevelType w:val="hybridMultilevel"/>
    <w:tmpl w:val="D29683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81755"/>
    <w:multiLevelType w:val="hybridMultilevel"/>
    <w:tmpl w:val="90C2EC28"/>
    <w:lvl w:ilvl="0" w:tplc="04090011">
      <w:start w:val="1"/>
      <w:numFmt w:val="decimal"/>
      <w:lvlText w:val="%1)"/>
      <w:lvlJc w:val="left"/>
      <w:pPr>
        <w:ind w:left="767" w:hanging="360"/>
      </w:pPr>
      <w:rPr>
        <w:rFont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14"/>
  </w:num>
  <w:num w:numId="4">
    <w:abstractNumId w:val="4"/>
  </w:num>
  <w:num w:numId="5">
    <w:abstractNumId w:val="31"/>
  </w:num>
  <w:num w:numId="6">
    <w:abstractNumId w:val="28"/>
  </w:num>
  <w:num w:numId="7">
    <w:abstractNumId w:val="30"/>
  </w:num>
  <w:num w:numId="8">
    <w:abstractNumId w:val="15"/>
  </w:num>
  <w:num w:numId="9">
    <w:abstractNumId w:val="25"/>
  </w:num>
  <w:num w:numId="10">
    <w:abstractNumId w:val="39"/>
  </w:num>
  <w:num w:numId="11">
    <w:abstractNumId w:val="13"/>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
  </w:num>
  <w:num w:numId="15">
    <w:abstractNumId w:val="23"/>
  </w:num>
  <w:num w:numId="16">
    <w:abstractNumId w:val="17"/>
  </w:num>
  <w:num w:numId="17">
    <w:abstractNumId w:val="34"/>
  </w:num>
  <w:num w:numId="18">
    <w:abstractNumId w:val="36"/>
  </w:num>
  <w:num w:numId="19">
    <w:abstractNumId w:val="0"/>
  </w:num>
  <w:num w:numId="20">
    <w:abstractNumId w:val="33"/>
  </w:num>
  <w:num w:numId="21">
    <w:abstractNumId w:val="7"/>
  </w:num>
  <w:num w:numId="22">
    <w:abstractNumId w:val="2"/>
  </w:num>
  <w:num w:numId="23">
    <w:abstractNumId w:val="32"/>
  </w:num>
  <w:num w:numId="24">
    <w:abstractNumId w:val="26"/>
  </w:num>
  <w:num w:numId="25">
    <w:abstractNumId w:val="18"/>
  </w:num>
  <w:num w:numId="26">
    <w:abstractNumId w:val="29"/>
  </w:num>
  <w:num w:numId="27">
    <w:abstractNumId w:val="16"/>
  </w:num>
  <w:num w:numId="28">
    <w:abstractNumId w:val="27"/>
  </w:num>
  <w:num w:numId="29">
    <w:abstractNumId w:val="20"/>
  </w:num>
  <w:num w:numId="30">
    <w:abstractNumId w:val="11"/>
  </w:num>
  <w:num w:numId="31">
    <w:abstractNumId w:val="12"/>
  </w:num>
  <w:num w:numId="32">
    <w:abstractNumId w:val="9"/>
  </w:num>
  <w:num w:numId="33">
    <w:abstractNumId w:val="10"/>
  </w:num>
  <w:num w:numId="34">
    <w:abstractNumId w:val="6"/>
  </w:num>
  <w:num w:numId="35">
    <w:abstractNumId w:val="22"/>
  </w:num>
  <w:num w:numId="36">
    <w:abstractNumId w:val="1"/>
  </w:num>
  <w:num w:numId="37">
    <w:abstractNumId w:val="38"/>
  </w:num>
  <w:num w:numId="38">
    <w:abstractNumId w:val="8"/>
  </w:num>
  <w:num w:numId="39">
    <w:abstractNumId w:val="5"/>
  </w:num>
  <w:num w:numId="4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1481"/>
    <w:rsid w:val="00041BC3"/>
    <w:rsid w:val="00042A6D"/>
    <w:rsid w:val="00042C26"/>
    <w:rsid w:val="00042DDD"/>
    <w:rsid w:val="00043DDD"/>
    <w:rsid w:val="00044777"/>
    <w:rsid w:val="000452A5"/>
    <w:rsid w:val="00047A18"/>
    <w:rsid w:val="0005090F"/>
    <w:rsid w:val="00050976"/>
    <w:rsid w:val="0005155D"/>
    <w:rsid w:val="000546B4"/>
    <w:rsid w:val="000565ED"/>
    <w:rsid w:val="00060E62"/>
    <w:rsid w:val="0006258F"/>
    <w:rsid w:val="00063CF2"/>
    <w:rsid w:val="00063F8D"/>
    <w:rsid w:val="0006412A"/>
    <w:rsid w:val="00064625"/>
    <w:rsid w:val="00064BDC"/>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070"/>
    <w:rsid w:val="000C3909"/>
    <w:rsid w:val="000C542C"/>
    <w:rsid w:val="000C69E7"/>
    <w:rsid w:val="000C6A06"/>
    <w:rsid w:val="000D14AB"/>
    <w:rsid w:val="000D19D3"/>
    <w:rsid w:val="000D348D"/>
    <w:rsid w:val="000D6CFC"/>
    <w:rsid w:val="000E0938"/>
    <w:rsid w:val="000E1B6E"/>
    <w:rsid w:val="000E37E4"/>
    <w:rsid w:val="000E418E"/>
    <w:rsid w:val="000E5F1D"/>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767C9"/>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0C33"/>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9B4"/>
    <w:rsid w:val="00206D47"/>
    <w:rsid w:val="0020736B"/>
    <w:rsid w:val="002078F9"/>
    <w:rsid w:val="00210968"/>
    <w:rsid w:val="00210BDF"/>
    <w:rsid w:val="0021253F"/>
    <w:rsid w:val="002144A6"/>
    <w:rsid w:val="00214FBD"/>
    <w:rsid w:val="0021572D"/>
    <w:rsid w:val="00216078"/>
    <w:rsid w:val="00216453"/>
    <w:rsid w:val="00221528"/>
    <w:rsid w:val="00221973"/>
    <w:rsid w:val="002232AD"/>
    <w:rsid w:val="00224371"/>
    <w:rsid w:val="002259EF"/>
    <w:rsid w:val="0023082B"/>
    <w:rsid w:val="002322EB"/>
    <w:rsid w:val="00232BF0"/>
    <w:rsid w:val="00233475"/>
    <w:rsid w:val="00233B2A"/>
    <w:rsid w:val="00233F03"/>
    <w:rsid w:val="00235944"/>
    <w:rsid w:val="00235DB2"/>
    <w:rsid w:val="00237047"/>
    <w:rsid w:val="00240C0C"/>
    <w:rsid w:val="0024133D"/>
    <w:rsid w:val="00243966"/>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2F64"/>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0DA"/>
    <w:rsid w:val="00346F74"/>
    <w:rsid w:val="00347916"/>
    <w:rsid w:val="00350783"/>
    <w:rsid w:val="00351127"/>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718B5"/>
    <w:rsid w:val="00371E11"/>
    <w:rsid w:val="00373723"/>
    <w:rsid w:val="003767EE"/>
    <w:rsid w:val="0037737F"/>
    <w:rsid w:val="003811F6"/>
    <w:rsid w:val="00384D60"/>
    <w:rsid w:val="0038515D"/>
    <w:rsid w:val="003857EE"/>
    <w:rsid w:val="00387054"/>
    <w:rsid w:val="00387CF6"/>
    <w:rsid w:val="00392274"/>
    <w:rsid w:val="003949D0"/>
    <w:rsid w:val="00394D97"/>
    <w:rsid w:val="003955D8"/>
    <w:rsid w:val="00395E7C"/>
    <w:rsid w:val="00395E87"/>
    <w:rsid w:val="003A0E5D"/>
    <w:rsid w:val="003A229F"/>
    <w:rsid w:val="003A3D39"/>
    <w:rsid w:val="003A4743"/>
    <w:rsid w:val="003A4E94"/>
    <w:rsid w:val="003A522C"/>
    <w:rsid w:val="003A52FA"/>
    <w:rsid w:val="003A5510"/>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4C85"/>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3428"/>
    <w:rsid w:val="00464913"/>
    <w:rsid w:val="00466D4C"/>
    <w:rsid w:val="004672D9"/>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4F3C"/>
    <w:rsid w:val="00495201"/>
    <w:rsid w:val="00495514"/>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E71C9"/>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3FB4"/>
    <w:rsid w:val="00524921"/>
    <w:rsid w:val="0052591D"/>
    <w:rsid w:val="00526419"/>
    <w:rsid w:val="00526789"/>
    <w:rsid w:val="00531057"/>
    <w:rsid w:val="005313B0"/>
    <w:rsid w:val="00533986"/>
    <w:rsid w:val="00535330"/>
    <w:rsid w:val="005354C7"/>
    <w:rsid w:val="00537BE7"/>
    <w:rsid w:val="00540FE8"/>
    <w:rsid w:val="00541B90"/>
    <w:rsid w:val="00544499"/>
    <w:rsid w:val="00544CE8"/>
    <w:rsid w:val="005450CC"/>
    <w:rsid w:val="00546A44"/>
    <w:rsid w:val="00546BC8"/>
    <w:rsid w:val="005508C3"/>
    <w:rsid w:val="0055115F"/>
    <w:rsid w:val="00551962"/>
    <w:rsid w:val="00551BA1"/>
    <w:rsid w:val="00551D47"/>
    <w:rsid w:val="0055266F"/>
    <w:rsid w:val="00555599"/>
    <w:rsid w:val="00555DC6"/>
    <w:rsid w:val="00556110"/>
    <w:rsid w:val="005600C5"/>
    <w:rsid w:val="005613E9"/>
    <w:rsid w:val="005645E6"/>
    <w:rsid w:val="005650D0"/>
    <w:rsid w:val="00565FD0"/>
    <w:rsid w:val="00567785"/>
    <w:rsid w:val="0057126E"/>
    <w:rsid w:val="00573281"/>
    <w:rsid w:val="0057362B"/>
    <w:rsid w:val="00573B15"/>
    <w:rsid w:val="00576264"/>
    <w:rsid w:val="005805C5"/>
    <w:rsid w:val="00581502"/>
    <w:rsid w:val="00582F61"/>
    <w:rsid w:val="005849AA"/>
    <w:rsid w:val="00587617"/>
    <w:rsid w:val="00587F02"/>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275D"/>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296"/>
    <w:rsid w:val="005F5C8C"/>
    <w:rsid w:val="00604E58"/>
    <w:rsid w:val="00605271"/>
    <w:rsid w:val="00606D02"/>
    <w:rsid w:val="00606E8E"/>
    <w:rsid w:val="00610E23"/>
    <w:rsid w:val="0061133F"/>
    <w:rsid w:val="006113C6"/>
    <w:rsid w:val="0061175B"/>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393"/>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81"/>
    <w:rsid w:val="006C6A09"/>
    <w:rsid w:val="006C6EA2"/>
    <w:rsid w:val="006D0801"/>
    <w:rsid w:val="006D52EC"/>
    <w:rsid w:val="006D54FC"/>
    <w:rsid w:val="006D5AD5"/>
    <w:rsid w:val="006D5B0C"/>
    <w:rsid w:val="006D7283"/>
    <w:rsid w:val="006D7322"/>
    <w:rsid w:val="006E22B7"/>
    <w:rsid w:val="006E66D7"/>
    <w:rsid w:val="006E66FD"/>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37FBB"/>
    <w:rsid w:val="00743EDB"/>
    <w:rsid w:val="00747D66"/>
    <w:rsid w:val="00750043"/>
    <w:rsid w:val="00750156"/>
    <w:rsid w:val="0075016D"/>
    <w:rsid w:val="007509D1"/>
    <w:rsid w:val="0075378A"/>
    <w:rsid w:val="00753893"/>
    <w:rsid w:val="00753BCB"/>
    <w:rsid w:val="0075572E"/>
    <w:rsid w:val="007605A5"/>
    <w:rsid w:val="00760BB2"/>
    <w:rsid w:val="007615E4"/>
    <w:rsid w:val="00761A93"/>
    <w:rsid w:val="00763C8F"/>
    <w:rsid w:val="00764081"/>
    <w:rsid w:val="007667AA"/>
    <w:rsid w:val="00767780"/>
    <w:rsid w:val="00767E58"/>
    <w:rsid w:val="00772F68"/>
    <w:rsid w:val="0077414A"/>
    <w:rsid w:val="007744AB"/>
    <w:rsid w:val="007747E6"/>
    <w:rsid w:val="007755A1"/>
    <w:rsid w:val="007757E4"/>
    <w:rsid w:val="0077599A"/>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B6346"/>
    <w:rsid w:val="007C04C7"/>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4D62"/>
    <w:rsid w:val="007F54FB"/>
    <w:rsid w:val="00800B33"/>
    <w:rsid w:val="008010A3"/>
    <w:rsid w:val="00801373"/>
    <w:rsid w:val="00801750"/>
    <w:rsid w:val="00801BE8"/>
    <w:rsid w:val="00802681"/>
    <w:rsid w:val="0080333C"/>
    <w:rsid w:val="008043A0"/>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2FFA"/>
    <w:rsid w:val="00833E81"/>
    <w:rsid w:val="008345C9"/>
    <w:rsid w:val="00835A89"/>
    <w:rsid w:val="008463C0"/>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A5C04"/>
    <w:rsid w:val="008B3091"/>
    <w:rsid w:val="008B3D64"/>
    <w:rsid w:val="008B4C4A"/>
    <w:rsid w:val="008B4CEF"/>
    <w:rsid w:val="008B7F43"/>
    <w:rsid w:val="008C032F"/>
    <w:rsid w:val="008C13CB"/>
    <w:rsid w:val="008C33B8"/>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716"/>
    <w:rsid w:val="008F5D0C"/>
    <w:rsid w:val="008F777D"/>
    <w:rsid w:val="00900562"/>
    <w:rsid w:val="0090090D"/>
    <w:rsid w:val="0090177F"/>
    <w:rsid w:val="00902AFB"/>
    <w:rsid w:val="00902E7D"/>
    <w:rsid w:val="009042C3"/>
    <w:rsid w:val="0090730E"/>
    <w:rsid w:val="00907902"/>
    <w:rsid w:val="00910597"/>
    <w:rsid w:val="009106B2"/>
    <w:rsid w:val="009114BF"/>
    <w:rsid w:val="00912F7D"/>
    <w:rsid w:val="00913C01"/>
    <w:rsid w:val="00914ECE"/>
    <w:rsid w:val="00914F1C"/>
    <w:rsid w:val="0091553B"/>
    <w:rsid w:val="009159C1"/>
    <w:rsid w:val="00916058"/>
    <w:rsid w:val="00916E10"/>
    <w:rsid w:val="00917178"/>
    <w:rsid w:val="009173B9"/>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06E8"/>
    <w:rsid w:val="009730AE"/>
    <w:rsid w:val="009732A9"/>
    <w:rsid w:val="00973C58"/>
    <w:rsid w:val="009742CE"/>
    <w:rsid w:val="009743B9"/>
    <w:rsid w:val="009800BA"/>
    <w:rsid w:val="00980923"/>
    <w:rsid w:val="00982237"/>
    <w:rsid w:val="00982997"/>
    <w:rsid w:val="00983910"/>
    <w:rsid w:val="00983CA4"/>
    <w:rsid w:val="00984451"/>
    <w:rsid w:val="00984BC3"/>
    <w:rsid w:val="00984EDD"/>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546"/>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46A"/>
    <w:rsid w:val="00A165D8"/>
    <w:rsid w:val="00A1762D"/>
    <w:rsid w:val="00A17910"/>
    <w:rsid w:val="00A21677"/>
    <w:rsid w:val="00A24463"/>
    <w:rsid w:val="00A24BDF"/>
    <w:rsid w:val="00A24FB7"/>
    <w:rsid w:val="00A32CCA"/>
    <w:rsid w:val="00A3585F"/>
    <w:rsid w:val="00A37667"/>
    <w:rsid w:val="00A402FC"/>
    <w:rsid w:val="00A41C75"/>
    <w:rsid w:val="00A42DE8"/>
    <w:rsid w:val="00A444C6"/>
    <w:rsid w:val="00A46AAB"/>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58EC"/>
    <w:rsid w:val="00A770C6"/>
    <w:rsid w:val="00A80382"/>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DF4"/>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4CE9"/>
    <w:rsid w:val="00AE5145"/>
    <w:rsid w:val="00AE5239"/>
    <w:rsid w:val="00AE68D3"/>
    <w:rsid w:val="00AF0288"/>
    <w:rsid w:val="00AF179F"/>
    <w:rsid w:val="00AF2571"/>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111"/>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6045"/>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9794F"/>
    <w:rsid w:val="00BA079A"/>
    <w:rsid w:val="00BA120D"/>
    <w:rsid w:val="00BA1F8C"/>
    <w:rsid w:val="00BA417A"/>
    <w:rsid w:val="00BA4A3A"/>
    <w:rsid w:val="00BA4ABE"/>
    <w:rsid w:val="00BA4DBA"/>
    <w:rsid w:val="00BA658A"/>
    <w:rsid w:val="00BA6EF3"/>
    <w:rsid w:val="00BB00D3"/>
    <w:rsid w:val="00BB12BA"/>
    <w:rsid w:val="00BB147F"/>
    <w:rsid w:val="00BB1B96"/>
    <w:rsid w:val="00BB2113"/>
    <w:rsid w:val="00BB3C80"/>
    <w:rsid w:val="00BB5013"/>
    <w:rsid w:val="00BB570A"/>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148C"/>
    <w:rsid w:val="00BD2421"/>
    <w:rsid w:val="00BD2AF9"/>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139"/>
    <w:rsid w:val="00C51A51"/>
    <w:rsid w:val="00C51B81"/>
    <w:rsid w:val="00C521C2"/>
    <w:rsid w:val="00C525B4"/>
    <w:rsid w:val="00C5299A"/>
    <w:rsid w:val="00C52C8E"/>
    <w:rsid w:val="00C53E7A"/>
    <w:rsid w:val="00C54434"/>
    <w:rsid w:val="00C5487A"/>
    <w:rsid w:val="00C558D3"/>
    <w:rsid w:val="00C568FB"/>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83C"/>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4F2F"/>
    <w:rsid w:val="00D35545"/>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57439"/>
    <w:rsid w:val="00D60B56"/>
    <w:rsid w:val="00D63833"/>
    <w:rsid w:val="00D64765"/>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17C9A"/>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15"/>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195B"/>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265AE"/>
    <w:rsid w:val="00F322A2"/>
    <w:rsid w:val="00F325ED"/>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B72"/>
    <w:rsid w:val="00F67EB5"/>
    <w:rsid w:val="00F733CD"/>
    <w:rsid w:val="00F734DB"/>
    <w:rsid w:val="00F75158"/>
    <w:rsid w:val="00F75381"/>
    <w:rsid w:val="00F754B0"/>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C3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uiPriority w:val="35"/>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1332</Words>
  <Characters>7596</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2023-04-10T18:46:00Z</dcterms:created>
  <dcterms:modified xsi:type="dcterms:W3CDTF">2023-04-10T18:46:00Z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